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A320E" w:rsidRDefault="00AA64CB">
      <w:pPr>
        <w:pStyle w:val="Heading3"/>
        <w:jc w:val="center"/>
        <w:rPr>
          <w:rFonts w:eastAsia="Times New Roman"/>
        </w:rPr>
      </w:pPr>
      <w:r>
        <w:rPr>
          <w:rFonts w:eastAsia="Times New Roman"/>
        </w:rPr>
        <w:br/>
      </w:r>
      <w:proofErr w:type="gramStart"/>
      <w:r>
        <w:rPr>
          <w:rFonts w:eastAsia="Times New Roman"/>
        </w:rPr>
        <w:t>Prediction of UV-VIS Absorbance Data for Polycyclic Aromatic Hydrocarbons (PAHs).</w:t>
      </w:r>
      <w:proofErr w:type="gramEnd"/>
      <w:r>
        <w:rPr>
          <w:rFonts w:eastAsia="Times New Roman"/>
        </w:rPr>
        <w:t xml:space="preserve"> </w:t>
      </w:r>
      <w:r>
        <w:rPr>
          <w:rFonts w:eastAsia="Times New Roman"/>
        </w:rPr>
        <w:br/>
        <w:t xml:space="preserve">Performance of the LCOAO Procedure for Medium to Large Benzenoid Chromophores </w:t>
      </w:r>
    </w:p>
    <w:p w:rsidR="005A320E" w:rsidRDefault="00AA64CB">
      <w:pPr>
        <w:jc w:val="center"/>
        <w:rPr>
          <w:rFonts w:eastAsia="Times New Roman"/>
        </w:rPr>
      </w:pPr>
      <w:r>
        <w:rPr>
          <w:rFonts w:eastAsia="Times New Roman"/>
        </w:rPr>
        <w:t>(Preliminary communication</w:t>
      </w:r>
      <w:r w:rsidR="00F317BE">
        <w:rPr>
          <w:rFonts w:eastAsia="Times New Roman"/>
        </w:rPr>
        <w:t>, 2013</w:t>
      </w:r>
      <w:r>
        <w:rPr>
          <w:rFonts w:eastAsia="Times New Roman"/>
        </w:rPr>
        <w:t>)</w:t>
      </w:r>
    </w:p>
    <w:p w:rsidR="005A320E" w:rsidRDefault="005A320E">
      <w:pPr>
        <w:rPr>
          <w:rFonts w:eastAsia="Times New Roman"/>
        </w:rPr>
      </w:pPr>
    </w:p>
    <w:p w:rsidR="005A320E" w:rsidRDefault="00AA64CB">
      <w:pPr>
        <w:jc w:val="center"/>
        <w:rPr>
          <w:rFonts w:eastAsia="Times New Roman"/>
        </w:rPr>
      </w:pPr>
      <w:r>
        <w:rPr>
          <w:rFonts w:eastAsia="Times New Roman"/>
          <w:b/>
          <w:bCs/>
        </w:rPr>
        <w:t xml:space="preserve">Kasper </w:t>
      </w:r>
      <w:proofErr w:type="spellStart"/>
      <w:r>
        <w:rPr>
          <w:rFonts w:eastAsia="Times New Roman"/>
          <w:b/>
          <w:bCs/>
        </w:rPr>
        <w:t>Høyrup</w:t>
      </w:r>
      <w:proofErr w:type="spellEnd"/>
      <w:r>
        <w:rPr>
          <w:rFonts w:eastAsia="Times New Roman"/>
          <w:b/>
          <w:bCs/>
        </w:rPr>
        <w:t xml:space="preserve"> </w:t>
      </w:r>
      <w:proofErr w:type="spellStart"/>
      <w:r>
        <w:rPr>
          <w:rFonts w:eastAsia="Times New Roman"/>
          <w:b/>
          <w:bCs/>
        </w:rPr>
        <w:t>Swiatek</w:t>
      </w:r>
      <w:proofErr w:type="spellEnd"/>
      <w:r>
        <w:rPr>
          <w:rFonts w:eastAsia="Times New Roman"/>
        </w:rPr>
        <w:t xml:space="preserve"> &amp; </w:t>
      </w:r>
      <w:hyperlink r:id="rId4" w:history="1">
        <w:r>
          <w:rPr>
            <w:rStyle w:val="Hyperlink"/>
            <w:rFonts w:eastAsia="Times New Roman"/>
            <w:b/>
            <w:bCs/>
          </w:rPr>
          <w:t>Jens Spanget-Larsen</w:t>
        </w:r>
      </w:hyperlink>
    </w:p>
    <w:p w:rsidR="005A320E" w:rsidRDefault="005A320E">
      <w:pPr>
        <w:rPr>
          <w:rFonts w:eastAsia="Times New Roman"/>
        </w:rPr>
      </w:pPr>
    </w:p>
    <w:p w:rsidR="005A320E" w:rsidRDefault="00AA64CB">
      <w:pPr>
        <w:jc w:val="center"/>
        <w:rPr>
          <w:rFonts w:eastAsia="Times New Roman"/>
        </w:rPr>
      </w:pPr>
      <w:r>
        <w:rPr>
          <w:rFonts w:eastAsia="Times New Roman"/>
          <w:sz w:val="20"/>
          <w:szCs w:val="20"/>
        </w:rPr>
        <w:t>Department of Science, Systems and Models</w:t>
      </w:r>
      <w:r>
        <w:rPr>
          <w:rFonts w:eastAsia="Times New Roman"/>
          <w:sz w:val="20"/>
          <w:szCs w:val="20"/>
        </w:rPr>
        <w:br/>
        <w:t xml:space="preserve">Roskilde University, </w:t>
      </w:r>
      <w:proofErr w:type="spellStart"/>
      <w:r>
        <w:rPr>
          <w:rFonts w:eastAsia="Times New Roman"/>
          <w:sz w:val="20"/>
          <w:szCs w:val="20"/>
        </w:rPr>
        <w:t>P.O.Box</w:t>
      </w:r>
      <w:proofErr w:type="spellEnd"/>
      <w:r>
        <w:rPr>
          <w:rFonts w:eastAsia="Times New Roman"/>
          <w:sz w:val="20"/>
          <w:szCs w:val="20"/>
        </w:rPr>
        <w:t xml:space="preserve"> 260, DK-4000 Roskilde, Denmark</w:t>
      </w:r>
    </w:p>
    <w:p w:rsidR="005A320E" w:rsidRDefault="005A320E">
      <w:pPr>
        <w:spacing w:after="240"/>
        <w:rPr>
          <w:rFonts w:eastAsia="Times New Roman"/>
        </w:rPr>
      </w:pPr>
    </w:p>
    <w:p w:rsidR="005A320E" w:rsidRDefault="00AA64CB">
      <w:pPr>
        <w:jc w:val="center"/>
        <w:rPr>
          <w:rFonts w:eastAsia="Times New Roman"/>
        </w:rPr>
      </w:pPr>
      <w:r>
        <w:rPr>
          <w:rFonts w:eastAsia="Times New Roman"/>
          <w:b/>
          <w:bCs/>
        </w:rPr>
        <w:t>Abstract</w:t>
      </w:r>
    </w:p>
    <w:p w:rsidR="005A320E" w:rsidRDefault="00AA64CB">
      <w:pPr>
        <w:rPr>
          <w:rFonts w:eastAsia="Times New Roman"/>
        </w:rPr>
      </w:pPr>
      <w:r>
        <w:rPr>
          <w:rFonts w:eastAsia="Times New Roman"/>
        </w:rPr>
        <w:br/>
        <w:t xml:space="preserve">Polycyclic Aromatic Hydrocarbons (PAHs) constitute a large class of conjugated π electron systems of fundamental importance in many research areas of chemistry as well as in astrophysics and materials science. They are produced by the combustion of organic matter and are of great importance in environmental chemistry due to their carcinogenicity. Individual PAHs isolated by analytic procedures are generally identified by their characteristic UV-VIS absorption spectra, and an understanding of their electronic transitions is thus of considerable interest. </w:t>
      </w:r>
      <w:r>
        <w:rPr>
          <w:rFonts w:eastAsia="Times New Roman"/>
        </w:rPr>
        <w:br/>
      </w:r>
      <w:r>
        <w:rPr>
          <w:rFonts w:eastAsia="Times New Roman"/>
        </w:rPr>
        <w:br/>
        <w:t>The semi</w:t>
      </w:r>
      <w:r w:rsidR="00C924D9">
        <w:rPr>
          <w:rFonts w:eastAsia="Times New Roman"/>
        </w:rPr>
        <w:t>-</w:t>
      </w:r>
      <w:r>
        <w:rPr>
          <w:rFonts w:eastAsia="Times New Roman"/>
        </w:rPr>
        <w:t>empirical LCOAO (Linear Combination of Orthogonalized Atomic Orbitals) [1] all-valence-electrons procedure is developed for the prediction of electronic transitions for this class of compounds. It is designed with particular attention to a satisfactory description of the observed electronic state pairing properties [1</w:t>
      </w:r>
      <w:proofErr w:type="gramStart"/>
      <w:r>
        <w:rPr>
          <w:rFonts w:eastAsia="Times New Roman"/>
        </w:rPr>
        <w:t>,2</w:t>
      </w:r>
      <w:proofErr w:type="gramEnd"/>
      <w:r>
        <w:rPr>
          <w:rFonts w:eastAsia="Times New Roman"/>
        </w:rPr>
        <w:t xml:space="preserve">] for alternant conjugated hydrocarbons. The procedure is </w:t>
      </w:r>
      <w:r w:rsidR="00C924D9">
        <w:rPr>
          <w:rFonts w:eastAsia="Times New Roman"/>
        </w:rPr>
        <w:t>parameterized</w:t>
      </w:r>
      <w:r>
        <w:rPr>
          <w:rFonts w:eastAsia="Times New Roman"/>
        </w:rPr>
        <w:t xml:space="preserve"> in such a manner [1</w:t>
      </w:r>
      <w:proofErr w:type="gramStart"/>
      <w:r>
        <w:rPr>
          <w:rFonts w:eastAsia="Times New Roman"/>
        </w:rPr>
        <w:t>,3</w:t>
      </w:r>
      <w:proofErr w:type="gramEnd"/>
      <w:r>
        <w:rPr>
          <w:rFonts w:eastAsia="Times New Roman"/>
        </w:rPr>
        <w:t>] that the next-nearest-</w:t>
      </w:r>
      <w:proofErr w:type="spellStart"/>
      <w:r>
        <w:rPr>
          <w:rFonts w:eastAsia="Times New Roman"/>
        </w:rPr>
        <w:t>neighbor</w:t>
      </w:r>
      <w:proofErr w:type="spellEnd"/>
      <w:r>
        <w:rPr>
          <w:rFonts w:eastAsia="Times New Roman"/>
        </w:rPr>
        <w:t xml:space="preserve"> resonance integral between </w:t>
      </w:r>
      <w:proofErr w:type="spellStart"/>
      <w:r>
        <w:rPr>
          <w:rFonts w:eastAsia="Times New Roman"/>
        </w:rPr>
        <w:t>Löwdin-orthogonalized</w:t>
      </w:r>
      <w:proofErr w:type="spellEnd"/>
      <w:r>
        <w:rPr>
          <w:rFonts w:eastAsia="Times New Roman"/>
        </w:rPr>
        <w:t xml:space="preserve"> [4] π atomic orbitals just vanishes in the six-membered ring of benzene. In combination with a careful adjustment of penetration terms, the resulting model ensures near-perfect pairing symmetry for benzenoid PAHs. This is essential for an adequate description of the so-called minus-states [2] which are optically near-forbidden by the alternant pairing symmetry, such as the L</w:t>
      </w:r>
      <w:r w:rsidRPr="00A1572C">
        <w:rPr>
          <w:rFonts w:eastAsia="Times New Roman"/>
          <w:vertAlign w:val="subscript"/>
        </w:rPr>
        <w:t>b</w:t>
      </w:r>
      <w:r>
        <w:rPr>
          <w:rFonts w:eastAsia="Times New Roman"/>
        </w:rPr>
        <w:t xml:space="preserve"> state which frequently corresponds to the most longwave electronic absorption band. The LCOAO procedure has shown excellent results for PAHs where other procedures frequently fail [1,5]. The computer program has recently been expanded to deal with large molecules (100 atoms, 300 orbitals) [6], and we here present results for several benzenoid PAHs [7]. </w:t>
      </w:r>
      <w:r>
        <w:rPr>
          <w:rFonts w:eastAsia="Times New Roman"/>
        </w:rPr>
        <w:br/>
      </w:r>
      <w:r>
        <w:rPr>
          <w:rFonts w:eastAsia="Times New Roman"/>
        </w:rPr>
        <w:br/>
        <w:t xml:space="preserve">We first consider the spectra of a series of 10 benzenoid PAHs from the data base published by </w:t>
      </w:r>
      <w:proofErr w:type="spellStart"/>
      <w:r>
        <w:rPr>
          <w:rFonts w:eastAsia="Times New Roman"/>
          <w:i/>
          <w:iCs/>
        </w:rPr>
        <w:t>Jinno</w:t>
      </w:r>
      <w:proofErr w:type="spellEnd"/>
      <w:r>
        <w:rPr>
          <w:rFonts w:eastAsia="Times New Roman"/>
          <w:i/>
          <w:iCs/>
        </w:rPr>
        <w:t xml:space="preserve"> Laboratory</w:t>
      </w:r>
      <w:r>
        <w:rPr>
          <w:rFonts w:eastAsia="Times New Roman"/>
        </w:rPr>
        <w:t xml:space="preserve"> [8], including </w:t>
      </w:r>
      <w:proofErr w:type="spellStart"/>
      <w:r>
        <w:rPr>
          <w:rFonts w:eastAsia="Times New Roman"/>
        </w:rPr>
        <w:t>perylene</w:t>
      </w:r>
      <w:proofErr w:type="spellEnd"/>
      <w:r>
        <w:rPr>
          <w:rFonts w:eastAsia="Times New Roman"/>
        </w:rPr>
        <w:t xml:space="preserve">, </w:t>
      </w:r>
      <w:proofErr w:type="spellStart"/>
      <w:r>
        <w:rPr>
          <w:rFonts w:eastAsia="Times New Roman"/>
        </w:rPr>
        <w:t>benzo</w:t>
      </w:r>
      <w:proofErr w:type="spellEnd"/>
      <w:r>
        <w:rPr>
          <w:rFonts w:eastAsia="Times New Roman"/>
        </w:rPr>
        <w:t>[</w:t>
      </w:r>
      <w:r>
        <w:rPr>
          <w:rFonts w:eastAsia="Times New Roman"/>
          <w:i/>
          <w:iCs/>
        </w:rPr>
        <w:t>a</w:t>
      </w:r>
      <w:r>
        <w:rPr>
          <w:rFonts w:eastAsia="Times New Roman"/>
        </w:rPr>
        <w:t>]</w:t>
      </w:r>
      <w:proofErr w:type="spellStart"/>
      <w:r>
        <w:rPr>
          <w:rFonts w:eastAsia="Times New Roman"/>
        </w:rPr>
        <w:t>pyrene</w:t>
      </w:r>
      <w:proofErr w:type="spellEnd"/>
      <w:r>
        <w:rPr>
          <w:rFonts w:eastAsia="Times New Roman"/>
        </w:rPr>
        <w:t xml:space="preserve">, </w:t>
      </w:r>
      <w:proofErr w:type="spellStart"/>
      <w:r>
        <w:rPr>
          <w:rFonts w:eastAsia="Times New Roman"/>
        </w:rPr>
        <w:t>benzo</w:t>
      </w:r>
      <w:proofErr w:type="spellEnd"/>
      <w:r>
        <w:rPr>
          <w:rFonts w:eastAsia="Times New Roman"/>
        </w:rPr>
        <w:t>[</w:t>
      </w:r>
      <w:proofErr w:type="spellStart"/>
      <w:r>
        <w:rPr>
          <w:rFonts w:eastAsia="Times New Roman"/>
          <w:i/>
          <w:iCs/>
        </w:rPr>
        <w:t>ghi</w:t>
      </w:r>
      <w:proofErr w:type="spellEnd"/>
      <w:r>
        <w:rPr>
          <w:rFonts w:eastAsia="Times New Roman"/>
        </w:rPr>
        <w:t>]</w:t>
      </w:r>
      <w:proofErr w:type="spellStart"/>
      <w:r>
        <w:rPr>
          <w:rFonts w:eastAsia="Times New Roman"/>
        </w:rPr>
        <w:t>perylene</w:t>
      </w:r>
      <w:proofErr w:type="spellEnd"/>
      <w:r>
        <w:rPr>
          <w:rFonts w:eastAsia="Times New Roman"/>
        </w:rPr>
        <w:t xml:space="preserve">, </w:t>
      </w:r>
      <w:proofErr w:type="spellStart"/>
      <w:r>
        <w:rPr>
          <w:rFonts w:eastAsia="Times New Roman"/>
        </w:rPr>
        <w:t>coronene</w:t>
      </w:r>
      <w:proofErr w:type="spellEnd"/>
      <w:r>
        <w:rPr>
          <w:rFonts w:eastAsia="Times New Roman"/>
        </w:rPr>
        <w:t xml:space="preserve">, </w:t>
      </w:r>
      <w:proofErr w:type="spellStart"/>
      <w:r>
        <w:rPr>
          <w:rFonts w:eastAsia="Times New Roman"/>
        </w:rPr>
        <w:t>benzo</w:t>
      </w:r>
      <w:proofErr w:type="spellEnd"/>
      <w:r>
        <w:rPr>
          <w:rFonts w:eastAsia="Times New Roman"/>
        </w:rPr>
        <w:t>[</w:t>
      </w:r>
      <w:r>
        <w:rPr>
          <w:rFonts w:eastAsia="Times New Roman"/>
          <w:i/>
          <w:iCs/>
        </w:rPr>
        <w:t>a</w:t>
      </w:r>
      <w:r>
        <w:rPr>
          <w:rFonts w:eastAsia="Times New Roman"/>
        </w:rPr>
        <w:t>]</w:t>
      </w:r>
      <w:proofErr w:type="spellStart"/>
      <w:r>
        <w:rPr>
          <w:rFonts w:eastAsia="Times New Roman"/>
        </w:rPr>
        <w:t>coronene</w:t>
      </w:r>
      <w:proofErr w:type="spellEnd"/>
      <w:r>
        <w:rPr>
          <w:rFonts w:eastAsia="Times New Roman"/>
        </w:rPr>
        <w:t xml:space="preserve">, </w:t>
      </w:r>
      <w:proofErr w:type="spellStart"/>
      <w:r>
        <w:rPr>
          <w:rFonts w:eastAsia="Times New Roman"/>
        </w:rPr>
        <w:t>dibenzo</w:t>
      </w:r>
      <w:proofErr w:type="spellEnd"/>
      <w:r>
        <w:rPr>
          <w:rFonts w:eastAsia="Times New Roman"/>
        </w:rPr>
        <w:t>[</w:t>
      </w:r>
      <w:proofErr w:type="spellStart"/>
      <w:r>
        <w:rPr>
          <w:rFonts w:eastAsia="Times New Roman"/>
          <w:i/>
          <w:iCs/>
        </w:rPr>
        <w:t>bc,ef</w:t>
      </w:r>
      <w:proofErr w:type="spellEnd"/>
      <w:r>
        <w:rPr>
          <w:rFonts w:eastAsia="Times New Roman"/>
        </w:rPr>
        <w:t>]</w:t>
      </w:r>
      <w:proofErr w:type="spellStart"/>
      <w:r>
        <w:rPr>
          <w:rFonts w:eastAsia="Times New Roman"/>
        </w:rPr>
        <w:t>coronene</w:t>
      </w:r>
      <w:proofErr w:type="spellEnd"/>
      <w:r>
        <w:rPr>
          <w:rFonts w:eastAsia="Times New Roman"/>
        </w:rPr>
        <w:t xml:space="preserve">, </w:t>
      </w:r>
      <w:proofErr w:type="spellStart"/>
      <w:r>
        <w:rPr>
          <w:rFonts w:eastAsia="Times New Roman"/>
        </w:rPr>
        <w:t>naphtho</w:t>
      </w:r>
      <w:proofErr w:type="spellEnd"/>
      <w:r>
        <w:rPr>
          <w:rFonts w:eastAsia="Times New Roman"/>
        </w:rPr>
        <w:t>[</w:t>
      </w:r>
      <w:r>
        <w:rPr>
          <w:rFonts w:eastAsia="Times New Roman"/>
          <w:i/>
          <w:iCs/>
        </w:rPr>
        <w:t>d</w:t>
      </w:r>
      <w:r>
        <w:rPr>
          <w:rFonts w:eastAsia="Times New Roman"/>
        </w:rPr>
        <w:t>]</w:t>
      </w:r>
      <w:proofErr w:type="spellStart"/>
      <w:r>
        <w:rPr>
          <w:rFonts w:eastAsia="Times New Roman"/>
        </w:rPr>
        <w:t>coronene</w:t>
      </w:r>
      <w:proofErr w:type="spellEnd"/>
      <w:r>
        <w:rPr>
          <w:rFonts w:eastAsia="Times New Roman"/>
        </w:rPr>
        <w:t xml:space="preserve">, </w:t>
      </w:r>
      <w:proofErr w:type="spellStart"/>
      <w:r>
        <w:rPr>
          <w:rFonts w:eastAsia="Times New Roman"/>
        </w:rPr>
        <w:t>benzo</w:t>
      </w:r>
      <w:proofErr w:type="spellEnd"/>
      <w:r>
        <w:rPr>
          <w:rFonts w:eastAsia="Times New Roman"/>
        </w:rPr>
        <w:t>[</w:t>
      </w:r>
      <w:proofErr w:type="spellStart"/>
      <w:r>
        <w:rPr>
          <w:rFonts w:eastAsia="Times New Roman"/>
          <w:i/>
          <w:iCs/>
        </w:rPr>
        <w:t>ghi</w:t>
      </w:r>
      <w:proofErr w:type="spellEnd"/>
      <w:r>
        <w:rPr>
          <w:rFonts w:eastAsia="Times New Roman"/>
        </w:rPr>
        <w:t>]</w:t>
      </w:r>
      <w:proofErr w:type="spellStart"/>
      <w:r>
        <w:rPr>
          <w:rFonts w:eastAsia="Times New Roman"/>
        </w:rPr>
        <w:t>naphtho</w:t>
      </w:r>
      <w:proofErr w:type="spellEnd"/>
      <w:r>
        <w:rPr>
          <w:rFonts w:eastAsia="Times New Roman"/>
        </w:rPr>
        <w:t>[</w:t>
      </w:r>
      <w:proofErr w:type="spellStart"/>
      <w:r>
        <w:rPr>
          <w:rFonts w:eastAsia="Times New Roman"/>
          <w:i/>
          <w:iCs/>
        </w:rPr>
        <w:t>cde</w:t>
      </w:r>
      <w:proofErr w:type="spellEnd"/>
      <w:r>
        <w:rPr>
          <w:rFonts w:eastAsia="Times New Roman"/>
        </w:rPr>
        <w:t>]</w:t>
      </w:r>
      <w:proofErr w:type="spellStart"/>
      <w:r>
        <w:rPr>
          <w:rFonts w:eastAsia="Times New Roman"/>
        </w:rPr>
        <w:t>perylene</w:t>
      </w:r>
      <w:proofErr w:type="spellEnd"/>
      <w:r>
        <w:rPr>
          <w:rFonts w:eastAsia="Times New Roman"/>
        </w:rPr>
        <w:t xml:space="preserve">, </w:t>
      </w:r>
      <w:proofErr w:type="spellStart"/>
      <w:r>
        <w:rPr>
          <w:rFonts w:eastAsia="Times New Roman"/>
        </w:rPr>
        <w:t>benzo</w:t>
      </w:r>
      <w:proofErr w:type="spellEnd"/>
      <w:r>
        <w:rPr>
          <w:rFonts w:eastAsia="Times New Roman"/>
        </w:rPr>
        <w:t>[</w:t>
      </w:r>
      <w:proofErr w:type="spellStart"/>
      <w:r>
        <w:rPr>
          <w:rFonts w:eastAsia="Times New Roman"/>
          <w:i/>
          <w:iCs/>
        </w:rPr>
        <w:t>rst</w:t>
      </w:r>
      <w:proofErr w:type="spellEnd"/>
      <w:r>
        <w:rPr>
          <w:rFonts w:eastAsia="Times New Roman"/>
        </w:rPr>
        <w:t>]</w:t>
      </w:r>
      <w:proofErr w:type="spellStart"/>
      <w:r>
        <w:rPr>
          <w:rFonts w:eastAsia="Times New Roman"/>
        </w:rPr>
        <w:t>dinaphtho</w:t>
      </w:r>
      <w:proofErr w:type="spellEnd"/>
      <w:r>
        <w:rPr>
          <w:rFonts w:eastAsia="Times New Roman"/>
        </w:rPr>
        <w:t>[</w:t>
      </w:r>
      <w:proofErr w:type="spellStart"/>
      <w:r>
        <w:rPr>
          <w:rFonts w:eastAsia="Times New Roman"/>
          <w:i/>
          <w:iCs/>
        </w:rPr>
        <w:t>defg,ijkl</w:t>
      </w:r>
      <w:proofErr w:type="spellEnd"/>
      <w:r>
        <w:rPr>
          <w:rFonts w:eastAsia="Times New Roman"/>
        </w:rPr>
        <w:t>]</w:t>
      </w:r>
      <w:proofErr w:type="spellStart"/>
      <w:r>
        <w:rPr>
          <w:rFonts w:eastAsia="Times New Roman"/>
        </w:rPr>
        <w:t>pentaphene</w:t>
      </w:r>
      <w:proofErr w:type="spellEnd"/>
      <w:r>
        <w:rPr>
          <w:rFonts w:eastAsia="Times New Roman"/>
        </w:rPr>
        <w:t xml:space="preserve">, and </w:t>
      </w:r>
      <w:proofErr w:type="spellStart"/>
      <w:r>
        <w:rPr>
          <w:rFonts w:eastAsia="Times New Roman"/>
        </w:rPr>
        <w:t>pyranthrene</w:t>
      </w:r>
      <w:proofErr w:type="spellEnd"/>
      <w:r>
        <w:rPr>
          <w:rFonts w:eastAsia="Times New Roman"/>
        </w:rPr>
        <w:t xml:space="preserve">. The published spectra were recorded at room temp. </w:t>
      </w:r>
      <w:proofErr w:type="gramStart"/>
      <w:r>
        <w:rPr>
          <w:rFonts w:eastAsia="Times New Roman"/>
        </w:rPr>
        <w:t>in</w:t>
      </w:r>
      <w:proofErr w:type="gramEnd"/>
      <w:r>
        <w:rPr>
          <w:rFonts w:eastAsia="Times New Roman"/>
        </w:rPr>
        <w:t xml:space="preserve"> methanol solution [8]. The LCOAO calculations were based on planar molecular geometries computed with the PM3 method, and electronic transitions were predicted by CIS calculations with inclusion of π-π* type excitations only [7]. </w:t>
      </w:r>
      <w:r w:rsidRPr="00D37719">
        <w:rPr>
          <w:rFonts w:eastAsia="Times New Roman"/>
          <w:highlight w:val="yellow"/>
        </w:rPr>
        <w:t>Click on the molecular diagrams</w:t>
      </w:r>
      <w:r>
        <w:rPr>
          <w:rFonts w:eastAsia="Times New Roman"/>
        </w:rPr>
        <w:t xml:space="preserve"> below to obtain graphical comparisons of the experimental and theoretical spectra; the transitions obtained with LCOAO are indicated by red columns for oscillator strength </w:t>
      </w:r>
      <w:proofErr w:type="gramStart"/>
      <w:r>
        <w:rPr>
          <w:rFonts w:eastAsia="Times New Roman"/>
          <w:i/>
          <w:iCs/>
        </w:rPr>
        <w:t>f</w:t>
      </w:r>
      <w:r>
        <w:rPr>
          <w:rFonts w:eastAsia="Times New Roman"/>
        </w:rPr>
        <w:t xml:space="preserve"> </w:t>
      </w:r>
      <w:r w:rsidR="00C924D9" w:rsidRPr="00C924D9">
        <w:rPr>
          <w:rFonts w:eastAsia="Times New Roman"/>
        </w:rPr>
        <w:t xml:space="preserve"> </w:t>
      </w:r>
      <w:r w:rsidR="00C924D9">
        <w:rPr>
          <w:rFonts w:eastAsia="Times New Roman"/>
        </w:rPr>
        <w:t>≥</w:t>
      </w:r>
      <w:proofErr w:type="gramEnd"/>
      <w:r w:rsidR="00C924D9">
        <w:rPr>
          <w:rFonts w:eastAsia="Times New Roman"/>
        </w:rPr>
        <w:t xml:space="preserve"> </w:t>
      </w:r>
      <w:r>
        <w:rPr>
          <w:rFonts w:eastAsia="Times New Roman"/>
        </w:rPr>
        <w:t>0.02, weaker transitions are indicated by green dots [9]. It is apparent that LCOAO predicts excitation wavelengths close to the "</w:t>
      </w:r>
      <w:r w:rsidR="00C924D9">
        <w:rPr>
          <w:rFonts w:eastAsia="Times New Roman"/>
        </w:rPr>
        <w:t>centre</w:t>
      </w:r>
      <w:r>
        <w:rPr>
          <w:rFonts w:eastAsia="Times New Roman"/>
        </w:rPr>
        <w:t xml:space="preserve"> of gravity" of the observed electronic band profiles, perhaps with a slight tendency to underestimation of wavelengths in the shortwave region (this trend is expected, see the discussion in [1b]). </w:t>
      </w:r>
    </w:p>
    <w:tbl>
      <w:tblPr>
        <w:tblW w:w="3500" w:type="pct"/>
        <w:jc w:val="center"/>
        <w:tblCellSpacing w:w="75" w:type="dxa"/>
        <w:tblCellMar>
          <w:top w:w="15" w:type="dxa"/>
          <w:left w:w="15" w:type="dxa"/>
          <w:bottom w:w="15" w:type="dxa"/>
          <w:right w:w="15" w:type="dxa"/>
        </w:tblCellMar>
        <w:tblLook w:val="04A0"/>
      </w:tblPr>
      <w:tblGrid>
        <w:gridCol w:w="2715"/>
        <w:gridCol w:w="2640"/>
        <w:gridCol w:w="2610"/>
        <w:gridCol w:w="2565"/>
      </w:tblGrid>
      <w:tr w:rsidR="005A320E">
        <w:trPr>
          <w:tblCellSpacing w:w="75" w:type="dxa"/>
          <w:jc w:val="center"/>
        </w:trPr>
        <w:tc>
          <w:tcPr>
            <w:tcW w:w="1650" w:type="pct"/>
            <w:vAlign w:val="center"/>
            <w:hideMark/>
          </w:tcPr>
          <w:p w:rsidR="005A320E" w:rsidRDefault="00AA64CB">
            <w:pPr>
              <w:rPr>
                <w:rFonts w:eastAsia="Times New Roman"/>
              </w:rPr>
            </w:pPr>
            <w:r>
              <w:rPr>
                <w:rFonts w:eastAsia="Times New Roman"/>
                <w:noProof/>
                <w:color w:val="0000FF"/>
              </w:rPr>
              <w:drawing>
                <wp:inline distT="0" distB="0" distL="0" distR="0">
                  <wp:extent cx="1543050" cy="1314450"/>
                  <wp:effectExtent l="19050" t="0" r="0" b="0"/>
                  <wp:docPr id="1" name="Picture 1" descr="O:\public_html\LCOAO\PAH\Perylene.bm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ublic_html\LCOAO\PAH\Perylene.bmp">
                            <a:hlinkClick r:id="rId6"/>
                          </pic:cNvPr>
                          <pic:cNvPicPr>
                            <a:picLocks noChangeAspect="1" noChangeArrowheads="1"/>
                          </pic:cNvPicPr>
                        </pic:nvPicPr>
                        <pic:blipFill>
                          <a:blip r:link="rId7" cstate="print"/>
                          <a:srcRect/>
                          <a:stretch>
                            <a:fillRect/>
                          </a:stretch>
                        </pic:blipFill>
                        <pic:spPr bwMode="auto">
                          <a:xfrm>
                            <a:off x="0" y="0"/>
                            <a:ext cx="1543050" cy="1314450"/>
                          </a:xfrm>
                          <a:prstGeom prst="rect">
                            <a:avLst/>
                          </a:prstGeom>
                          <a:noFill/>
                          <a:ln w="9525">
                            <a:noFill/>
                            <a:miter lim="800000"/>
                            <a:headEnd/>
                            <a:tailEnd/>
                          </a:ln>
                        </pic:spPr>
                      </pic:pic>
                    </a:graphicData>
                  </a:graphic>
                </wp:inline>
              </w:drawing>
            </w:r>
          </w:p>
        </w:tc>
        <w:tc>
          <w:tcPr>
            <w:tcW w:w="1650" w:type="pct"/>
            <w:vAlign w:val="center"/>
            <w:hideMark/>
          </w:tcPr>
          <w:p w:rsidR="005A320E" w:rsidRDefault="00AA64CB">
            <w:pPr>
              <w:rPr>
                <w:rFonts w:eastAsia="Times New Roman"/>
              </w:rPr>
            </w:pPr>
            <w:r>
              <w:rPr>
                <w:rFonts w:eastAsia="Times New Roman"/>
                <w:noProof/>
                <w:color w:val="0000FF"/>
              </w:rPr>
              <w:drawing>
                <wp:inline distT="0" distB="0" distL="0" distR="0">
                  <wp:extent cx="1543050" cy="1276350"/>
                  <wp:effectExtent l="19050" t="0" r="0" b="0"/>
                  <wp:docPr id="2" name="Picture 2" descr="O:\public_html\LCOAO\PAH\Benzo[a]pyrene.bmp">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ublic_html\LCOAO\PAH\Benzo[a]pyrene.bmp">
                            <a:hlinkClick r:id="rId9"/>
                          </pic:cNvPr>
                          <pic:cNvPicPr>
                            <a:picLocks noChangeAspect="1" noChangeArrowheads="1"/>
                          </pic:cNvPicPr>
                        </pic:nvPicPr>
                        <pic:blipFill>
                          <a:blip r:link="rId10" cstate="print"/>
                          <a:srcRect/>
                          <a:stretch>
                            <a:fillRect/>
                          </a:stretch>
                        </pic:blipFill>
                        <pic:spPr bwMode="auto">
                          <a:xfrm>
                            <a:off x="0" y="0"/>
                            <a:ext cx="1543050" cy="1276350"/>
                          </a:xfrm>
                          <a:prstGeom prst="rect">
                            <a:avLst/>
                          </a:prstGeom>
                          <a:noFill/>
                          <a:ln w="9525">
                            <a:noFill/>
                            <a:miter lim="800000"/>
                            <a:headEnd/>
                            <a:tailEnd/>
                          </a:ln>
                        </pic:spPr>
                      </pic:pic>
                    </a:graphicData>
                  </a:graphic>
                </wp:inline>
              </w:drawing>
            </w:r>
          </w:p>
        </w:tc>
        <w:tc>
          <w:tcPr>
            <w:tcW w:w="1650" w:type="pct"/>
            <w:vAlign w:val="center"/>
            <w:hideMark/>
          </w:tcPr>
          <w:p w:rsidR="005A320E" w:rsidRDefault="00AA64CB">
            <w:pPr>
              <w:rPr>
                <w:rFonts w:eastAsia="Times New Roman"/>
              </w:rPr>
            </w:pPr>
            <w:r>
              <w:rPr>
                <w:rFonts w:eastAsia="Times New Roman"/>
                <w:noProof/>
                <w:color w:val="0000FF"/>
              </w:rPr>
              <w:drawing>
                <wp:inline distT="0" distB="0" distL="0" distR="0">
                  <wp:extent cx="1524000" cy="1419225"/>
                  <wp:effectExtent l="19050" t="0" r="0" b="0"/>
                  <wp:docPr id="3" name="Picture 3" descr="O:\public_html\LCOAO\PAH\Benzo[ghi]perylene.bm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ublic_html\LCOAO\PAH\Benzo[ghi]perylene.bmp">
                            <a:hlinkClick r:id="rId12"/>
                          </pic:cNvPr>
                          <pic:cNvPicPr>
                            <a:picLocks noChangeAspect="1" noChangeArrowheads="1"/>
                          </pic:cNvPicPr>
                        </pic:nvPicPr>
                        <pic:blipFill>
                          <a:blip r:link="rId13" cstate="print"/>
                          <a:srcRect/>
                          <a:stretch>
                            <a:fillRect/>
                          </a:stretch>
                        </pic:blipFill>
                        <pic:spPr bwMode="auto">
                          <a:xfrm>
                            <a:off x="0" y="0"/>
                            <a:ext cx="1524000" cy="1419225"/>
                          </a:xfrm>
                          <a:prstGeom prst="rect">
                            <a:avLst/>
                          </a:prstGeom>
                          <a:noFill/>
                          <a:ln w="9525">
                            <a:noFill/>
                            <a:miter lim="800000"/>
                            <a:headEnd/>
                            <a:tailEnd/>
                          </a:ln>
                        </pic:spPr>
                      </pic:pic>
                    </a:graphicData>
                  </a:graphic>
                </wp:inline>
              </w:drawing>
            </w:r>
          </w:p>
        </w:tc>
        <w:tc>
          <w:tcPr>
            <w:tcW w:w="1650" w:type="pct"/>
            <w:vAlign w:val="center"/>
            <w:hideMark/>
          </w:tcPr>
          <w:p w:rsidR="005A320E" w:rsidRDefault="00AA64CB">
            <w:pPr>
              <w:rPr>
                <w:rFonts w:eastAsia="Times New Roman"/>
              </w:rPr>
            </w:pPr>
            <w:r>
              <w:rPr>
                <w:rFonts w:eastAsia="Times New Roman"/>
                <w:noProof/>
                <w:color w:val="0000FF"/>
              </w:rPr>
              <w:drawing>
                <wp:inline distT="0" distB="0" distL="0" distR="0">
                  <wp:extent cx="1438275" cy="1466850"/>
                  <wp:effectExtent l="19050" t="0" r="9525" b="0"/>
                  <wp:docPr id="4" name="Picture 4" descr="O:\public_html\LCOAO\PAH\Coronene.bmp">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public_html\LCOAO\PAH\Coronene.bmp">
                            <a:hlinkClick r:id="rId15"/>
                          </pic:cNvPr>
                          <pic:cNvPicPr>
                            <a:picLocks noChangeAspect="1" noChangeArrowheads="1"/>
                          </pic:cNvPicPr>
                        </pic:nvPicPr>
                        <pic:blipFill>
                          <a:blip r:link="rId16" cstate="print"/>
                          <a:srcRect/>
                          <a:stretch>
                            <a:fillRect/>
                          </a:stretch>
                        </pic:blipFill>
                        <pic:spPr bwMode="auto">
                          <a:xfrm>
                            <a:off x="0" y="0"/>
                            <a:ext cx="1438275" cy="1466850"/>
                          </a:xfrm>
                          <a:prstGeom prst="rect">
                            <a:avLst/>
                          </a:prstGeom>
                          <a:noFill/>
                          <a:ln w="9525">
                            <a:noFill/>
                            <a:miter lim="800000"/>
                            <a:headEnd/>
                            <a:tailEnd/>
                          </a:ln>
                        </pic:spPr>
                      </pic:pic>
                    </a:graphicData>
                  </a:graphic>
                </wp:inline>
              </w:drawing>
            </w:r>
          </w:p>
        </w:tc>
      </w:tr>
    </w:tbl>
    <w:p w:rsidR="005A320E" w:rsidRDefault="005A320E">
      <w:pPr>
        <w:jc w:val="center"/>
        <w:rPr>
          <w:rFonts w:eastAsia="Times New Roman"/>
          <w:vanish/>
        </w:rPr>
      </w:pPr>
    </w:p>
    <w:tbl>
      <w:tblPr>
        <w:tblW w:w="3500" w:type="pct"/>
        <w:jc w:val="center"/>
        <w:tblCellSpacing w:w="75" w:type="dxa"/>
        <w:tblCellMar>
          <w:top w:w="15" w:type="dxa"/>
          <w:left w:w="15" w:type="dxa"/>
          <w:bottom w:w="15" w:type="dxa"/>
          <w:right w:w="15" w:type="dxa"/>
        </w:tblCellMar>
        <w:tblLook w:val="04A0"/>
      </w:tblPr>
      <w:tblGrid>
        <w:gridCol w:w="3045"/>
        <w:gridCol w:w="2940"/>
        <w:gridCol w:w="3495"/>
      </w:tblGrid>
      <w:tr w:rsidR="005A320E">
        <w:trPr>
          <w:tblCellSpacing w:w="75" w:type="dxa"/>
          <w:jc w:val="center"/>
        </w:trPr>
        <w:tc>
          <w:tcPr>
            <w:tcW w:w="1650" w:type="pct"/>
            <w:vAlign w:val="center"/>
            <w:hideMark/>
          </w:tcPr>
          <w:p w:rsidR="005A320E" w:rsidRDefault="00AA64CB">
            <w:pPr>
              <w:rPr>
                <w:rFonts w:eastAsia="Times New Roman"/>
              </w:rPr>
            </w:pPr>
            <w:r>
              <w:rPr>
                <w:rFonts w:eastAsia="Times New Roman"/>
                <w:noProof/>
                <w:color w:val="0000FF"/>
              </w:rPr>
              <w:lastRenderedPageBreak/>
              <w:drawing>
                <wp:inline distT="0" distB="0" distL="0" distR="0">
                  <wp:extent cx="1743075" cy="1590675"/>
                  <wp:effectExtent l="19050" t="0" r="9525" b="0"/>
                  <wp:docPr id="5" name="Picture 5" descr="O:\public_html\LCOAO\PAH\Benzo[a]coronene.bmp">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public_html\LCOAO\PAH\Benzo[a]coronene.bmp">
                            <a:hlinkClick r:id="rId18"/>
                          </pic:cNvPr>
                          <pic:cNvPicPr>
                            <a:picLocks noChangeAspect="1" noChangeArrowheads="1"/>
                          </pic:cNvPicPr>
                        </pic:nvPicPr>
                        <pic:blipFill>
                          <a:blip r:link="rId19" cstate="print"/>
                          <a:srcRect/>
                          <a:stretch>
                            <a:fillRect/>
                          </a:stretch>
                        </pic:blipFill>
                        <pic:spPr bwMode="auto">
                          <a:xfrm>
                            <a:off x="0" y="0"/>
                            <a:ext cx="1743075" cy="1590675"/>
                          </a:xfrm>
                          <a:prstGeom prst="rect">
                            <a:avLst/>
                          </a:prstGeom>
                          <a:noFill/>
                          <a:ln w="9525">
                            <a:noFill/>
                            <a:miter lim="800000"/>
                            <a:headEnd/>
                            <a:tailEnd/>
                          </a:ln>
                        </pic:spPr>
                      </pic:pic>
                    </a:graphicData>
                  </a:graphic>
                </wp:inline>
              </w:drawing>
            </w:r>
          </w:p>
        </w:tc>
        <w:tc>
          <w:tcPr>
            <w:tcW w:w="1650" w:type="pct"/>
            <w:vAlign w:val="center"/>
            <w:hideMark/>
          </w:tcPr>
          <w:p w:rsidR="005A320E" w:rsidRDefault="00AA64CB">
            <w:pPr>
              <w:rPr>
                <w:rFonts w:eastAsia="Times New Roman"/>
              </w:rPr>
            </w:pPr>
            <w:r>
              <w:rPr>
                <w:rFonts w:eastAsia="Times New Roman"/>
                <w:noProof/>
                <w:color w:val="0000FF"/>
              </w:rPr>
              <w:drawing>
                <wp:inline distT="0" distB="0" distL="0" distR="0">
                  <wp:extent cx="1733550" cy="1590675"/>
                  <wp:effectExtent l="19050" t="0" r="0" b="0"/>
                  <wp:docPr id="6" name="Picture 6" descr="O:\public_html\LCOAO\PAH\Dibenzo[bc,ef]coronene.bmp">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public_html\LCOAO\PAH\Dibenzo[bc,ef]coronene.bmp">
                            <a:hlinkClick r:id="rId21"/>
                          </pic:cNvPr>
                          <pic:cNvPicPr>
                            <a:picLocks noChangeAspect="1" noChangeArrowheads="1"/>
                          </pic:cNvPicPr>
                        </pic:nvPicPr>
                        <pic:blipFill>
                          <a:blip r:link="rId22" cstate="print"/>
                          <a:srcRect/>
                          <a:stretch>
                            <a:fillRect/>
                          </a:stretch>
                        </pic:blipFill>
                        <pic:spPr bwMode="auto">
                          <a:xfrm>
                            <a:off x="0" y="0"/>
                            <a:ext cx="1733550" cy="1590675"/>
                          </a:xfrm>
                          <a:prstGeom prst="rect">
                            <a:avLst/>
                          </a:prstGeom>
                          <a:noFill/>
                          <a:ln w="9525">
                            <a:noFill/>
                            <a:miter lim="800000"/>
                            <a:headEnd/>
                            <a:tailEnd/>
                          </a:ln>
                        </pic:spPr>
                      </pic:pic>
                    </a:graphicData>
                  </a:graphic>
                </wp:inline>
              </w:drawing>
            </w:r>
          </w:p>
        </w:tc>
        <w:tc>
          <w:tcPr>
            <w:tcW w:w="1650" w:type="pct"/>
            <w:vAlign w:val="center"/>
            <w:hideMark/>
          </w:tcPr>
          <w:p w:rsidR="005A320E" w:rsidRDefault="00AA64CB">
            <w:pPr>
              <w:rPr>
                <w:rFonts w:eastAsia="Times New Roman"/>
              </w:rPr>
            </w:pPr>
            <w:r>
              <w:rPr>
                <w:rFonts w:eastAsia="Times New Roman"/>
                <w:noProof/>
                <w:color w:val="0000FF"/>
              </w:rPr>
              <w:drawing>
                <wp:inline distT="0" distB="0" distL="0" distR="0">
                  <wp:extent cx="2028825" cy="1600200"/>
                  <wp:effectExtent l="19050" t="0" r="9525" b="0"/>
                  <wp:docPr id="7" name="Picture 7" descr="O:\public_html\LCOAO\PAH\Naphtho[d]coronene.bmp">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public_html\LCOAO\PAH\Naphtho[d]coronene.bmp">
                            <a:hlinkClick r:id="rId24"/>
                          </pic:cNvPr>
                          <pic:cNvPicPr>
                            <a:picLocks noChangeAspect="1" noChangeArrowheads="1"/>
                          </pic:cNvPicPr>
                        </pic:nvPicPr>
                        <pic:blipFill>
                          <a:blip r:link="rId25" cstate="print"/>
                          <a:srcRect/>
                          <a:stretch>
                            <a:fillRect/>
                          </a:stretch>
                        </pic:blipFill>
                        <pic:spPr bwMode="auto">
                          <a:xfrm>
                            <a:off x="0" y="0"/>
                            <a:ext cx="2028825" cy="1600200"/>
                          </a:xfrm>
                          <a:prstGeom prst="rect">
                            <a:avLst/>
                          </a:prstGeom>
                          <a:noFill/>
                          <a:ln w="9525">
                            <a:noFill/>
                            <a:miter lim="800000"/>
                            <a:headEnd/>
                            <a:tailEnd/>
                          </a:ln>
                        </pic:spPr>
                      </pic:pic>
                    </a:graphicData>
                  </a:graphic>
                </wp:inline>
              </w:drawing>
            </w:r>
          </w:p>
        </w:tc>
      </w:tr>
    </w:tbl>
    <w:p w:rsidR="005A320E" w:rsidRDefault="005A320E">
      <w:pPr>
        <w:jc w:val="center"/>
        <w:rPr>
          <w:rFonts w:eastAsia="Times New Roman"/>
          <w:vanish/>
        </w:rPr>
      </w:pPr>
    </w:p>
    <w:tbl>
      <w:tblPr>
        <w:tblW w:w="3500" w:type="pct"/>
        <w:jc w:val="center"/>
        <w:tblCellSpacing w:w="75" w:type="dxa"/>
        <w:tblCellMar>
          <w:top w:w="15" w:type="dxa"/>
          <w:left w:w="15" w:type="dxa"/>
          <w:bottom w:w="15" w:type="dxa"/>
          <w:right w:w="15" w:type="dxa"/>
        </w:tblCellMar>
        <w:tblLook w:val="04A0"/>
      </w:tblPr>
      <w:tblGrid>
        <w:gridCol w:w="2775"/>
        <w:gridCol w:w="3390"/>
        <w:gridCol w:w="3645"/>
      </w:tblGrid>
      <w:tr w:rsidR="005A320E">
        <w:trPr>
          <w:tblCellSpacing w:w="75" w:type="dxa"/>
          <w:jc w:val="center"/>
        </w:trPr>
        <w:tc>
          <w:tcPr>
            <w:tcW w:w="1650" w:type="pct"/>
            <w:vAlign w:val="center"/>
            <w:hideMark/>
          </w:tcPr>
          <w:p w:rsidR="005A320E" w:rsidRDefault="00AA64CB">
            <w:pPr>
              <w:rPr>
                <w:rFonts w:eastAsia="Times New Roman"/>
              </w:rPr>
            </w:pPr>
            <w:r>
              <w:rPr>
                <w:rFonts w:eastAsia="Times New Roman"/>
                <w:noProof/>
                <w:color w:val="0000FF"/>
              </w:rPr>
              <w:drawing>
                <wp:inline distT="0" distB="0" distL="0" distR="0">
                  <wp:extent cx="1571625" cy="1504950"/>
                  <wp:effectExtent l="19050" t="0" r="9525" b="0"/>
                  <wp:docPr id="8" name="Picture 8" descr="O:\public_html\LCOAO\PAH\Benzo[ghi]naphtho[cde]perylene.bmp">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public_html\LCOAO\PAH\Benzo[ghi]naphtho[cde]perylene.bmp">
                            <a:hlinkClick r:id="rId27"/>
                          </pic:cNvPr>
                          <pic:cNvPicPr>
                            <a:picLocks noChangeAspect="1" noChangeArrowheads="1"/>
                          </pic:cNvPicPr>
                        </pic:nvPicPr>
                        <pic:blipFill>
                          <a:blip r:link="rId28" cstate="print"/>
                          <a:srcRect/>
                          <a:stretch>
                            <a:fillRect/>
                          </a:stretch>
                        </pic:blipFill>
                        <pic:spPr bwMode="auto">
                          <a:xfrm>
                            <a:off x="0" y="0"/>
                            <a:ext cx="1571625" cy="1504950"/>
                          </a:xfrm>
                          <a:prstGeom prst="rect">
                            <a:avLst/>
                          </a:prstGeom>
                          <a:noFill/>
                          <a:ln w="9525">
                            <a:noFill/>
                            <a:miter lim="800000"/>
                            <a:headEnd/>
                            <a:tailEnd/>
                          </a:ln>
                        </pic:spPr>
                      </pic:pic>
                    </a:graphicData>
                  </a:graphic>
                </wp:inline>
              </w:drawing>
            </w:r>
          </w:p>
        </w:tc>
        <w:tc>
          <w:tcPr>
            <w:tcW w:w="1650" w:type="pct"/>
            <w:vAlign w:val="center"/>
            <w:hideMark/>
          </w:tcPr>
          <w:p w:rsidR="005A320E" w:rsidRDefault="00AA64CB">
            <w:pPr>
              <w:rPr>
                <w:rFonts w:eastAsia="Times New Roman"/>
              </w:rPr>
            </w:pPr>
            <w:r>
              <w:rPr>
                <w:rFonts w:eastAsia="Times New Roman"/>
                <w:noProof/>
                <w:color w:val="0000FF"/>
              </w:rPr>
              <w:drawing>
                <wp:inline distT="0" distB="0" distL="0" distR="0">
                  <wp:extent cx="2019300" cy="1504950"/>
                  <wp:effectExtent l="19050" t="0" r="0" b="0"/>
                  <wp:docPr id="9" name="Picture 9" descr="O:\public_html\LCOAO\PAH\Benzo[rst]dinaphtho[defg,ijkl]pentaphene.bmp">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public_html\LCOAO\PAH\Benzo[rst]dinaphtho[defg,ijkl]pentaphene.bmp">
                            <a:hlinkClick r:id="rId30"/>
                          </pic:cNvPr>
                          <pic:cNvPicPr>
                            <a:picLocks noChangeAspect="1" noChangeArrowheads="1"/>
                          </pic:cNvPicPr>
                        </pic:nvPicPr>
                        <pic:blipFill>
                          <a:blip r:link="rId31" cstate="print"/>
                          <a:srcRect/>
                          <a:stretch>
                            <a:fillRect/>
                          </a:stretch>
                        </pic:blipFill>
                        <pic:spPr bwMode="auto">
                          <a:xfrm>
                            <a:off x="0" y="0"/>
                            <a:ext cx="2019300" cy="1504950"/>
                          </a:xfrm>
                          <a:prstGeom prst="rect">
                            <a:avLst/>
                          </a:prstGeom>
                          <a:noFill/>
                          <a:ln w="9525">
                            <a:noFill/>
                            <a:miter lim="800000"/>
                            <a:headEnd/>
                            <a:tailEnd/>
                          </a:ln>
                        </pic:spPr>
                      </pic:pic>
                    </a:graphicData>
                  </a:graphic>
                </wp:inline>
              </w:drawing>
            </w:r>
          </w:p>
        </w:tc>
        <w:tc>
          <w:tcPr>
            <w:tcW w:w="1650" w:type="pct"/>
            <w:vAlign w:val="center"/>
            <w:hideMark/>
          </w:tcPr>
          <w:p w:rsidR="005A320E" w:rsidRDefault="00AA64CB">
            <w:pPr>
              <w:rPr>
                <w:rFonts w:eastAsia="Times New Roman"/>
              </w:rPr>
            </w:pPr>
            <w:r>
              <w:rPr>
                <w:rFonts w:eastAsia="Times New Roman"/>
                <w:noProof/>
                <w:color w:val="0000FF"/>
              </w:rPr>
              <w:drawing>
                <wp:inline distT="0" distB="0" distL="0" distR="0">
                  <wp:extent cx="2124075" cy="1447800"/>
                  <wp:effectExtent l="19050" t="0" r="9525" b="0"/>
                  <wp:docPr id="10" name="Picture 10" descr="O:\public_html\LCOAO\PAH\Pyranthrene.bmp">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public_html\LCOAO\PAH\Pyranthrene.bmp">
                            <a:hlinkClick r:id="rId33"/>
                          </pic:cNvPr>
                          <pic:cNvPicPr>
                            <a:picLocks noChangeAspect="1" noChangeArrowheads="1"/>
                          </pic:cNvPicPr>
                        </pic:nvPicPr>
                        <pic:blipFill>
                          <a:blip r:link="rId34" cstate="print"/>
                          <a:srcRect/>
                          <a:stretch>
                            <a:fillRect/>
                          </a:stretch>
                        </pic:blipFill>
                        <pic:spPr bwMode="auto">
                          <a:xfrm>
                            <a:off x="0" y="0"/>
                            <a:ext cx="2124075" cy="1447800"/>
                          </a:xfrm>
                          <a:prstGeom prst="rect">
                            <a:avLst/>
                          </a:prstGeom>
                          <a:noFill/>
                          <a:ln w="9525">
                            <a:noFill/>
                            <a:miter lim="800000"/>
                            <a:headEnd/>
                            <a:tailEnd/>
                          </a:ln>
                        </pic:spPr>
                      </pic:pic>
                    </a:graphicData>
                  </a:graphic>
                </wp:inline>
              </w:drawing>
            </w:r>
          </w:p>
        </w:tc>
      </w:tr>
    </w:tbl>
    <w:p w:rsidR="005A320E" w:rsidRDefault="00AA64CB">
      <w:pPr>
        <w:rPr>
          <w:rFonts w:eastAsia="Times New Roman"/>
        </w:rPr>
      </w:pPr>
      <w:r>
        <w:rPr>
          <w:rFonts w:eastAsia="Times New Roman"/>
        </w:rPr>
        <w:br/>
        <w:t xml:space="preserve">In addition, we consider the spectra of 5 large benzenoid PAHs published by </w:t>
      </w:r>
      <w:proofErr w:type="spellStart"/>
      <w:r>
        <w:rPr>
          <w:rFonts w:eastAsia="Times New Roman"/>
        </w:rPr>
        <w:t>Ruiterkamp</w:t>
      </w:r>
      <w:proofErr w:type="spellEnd"/>
      <w:r>
        <w:rPr>
          <w:rFonts w:eastAsia="Times New Roman"/>
        </w:rPr>
        <w:t xml:space="preserve"> </w:t>
      </w:r>
      <w:r>
        <w:rPr>
          <w:rFonts w:eastAsia="Times New Roman"/>
          <w:i/>
          <w:iCs/>
        </w:rPr>
        <w:t>et al.</w:t>
      </w:r>
      <w:r>
        <w:rPr>
          <w:rFonts w:eastAsia="Times New Roman"/>
        </w:rPr>
        <w:t xml:space="preserve"> [10], namely </w:t>
      </w:r>
      <w:proofErr w:type="spellStart"/>
      <w:r>
        <w:rPr>
          <w:rFonts w:eastAsia="Times New Roman"/>
        </w:rPr>
        <w:t>ovalene</w:t>
      </w:r>
      <w:proofErr w:type="spellEnd"/>
      <w:r>
        <w:rPr>
          <w:rFonts w:eastAsia="Times New Roman"/>
        </w:rPr>
        <w:t xml:space="preserve">, </w:t>
      </w:r>
      <w:proofErr w:type="spellStart"/>
      <w:r>
        <w:rPr>
          <w:rFonts w:eastAsia="Times New Roman"/>
        </w:rPr>
        <w:t>terrylene</w:t>
      </w:r>
      <w:proofErr w:type="spellEnd"/>
      <w:r>
        <w:rPr>
          <w:rFonts w:eastAsia="Times New Roman"/>
        </w:rPr>
        <w:t xml:space="preserve">, </w:t>
      </w:r>
      <w:proofErr w:type="spellStart"/>
      <w:r>
        <w:rPr>
          <w:rFonts w:eastAsia="Times New Roman"/>
        </w:rPr>
        <w:t>quaterrylene</w:t>
      </w:r>
      <w:proofErr w:type="spellEnd"/>
      <w:r>
        <w:rPr>
          <w:rFonts w:eastAsia="Times New Roman"/>
        </w:rPr>
        <w:t xml:space="preserve">, </w:t>
      </w:r>
      <w:proofErr w:type="spellStart"/>
      <w:r>
        <w:rPr>
          <w:rFonts w:eastAsia="Times New Roman"/>
        </w:rPr>
        <w:t>dicoronylene</w:t>
      </w:r>
      <w:proofErr w:type="spellEnd"/>
      <w:r>
        <w:rPr>
          <w:rFonts w:eastAsia="Times New Roman"/>
        </w:rPr>
        <w:t xml:space="preserve">, and </w:t>
      </w:r>
      <w:proofErr w:type="spellStart"/>
      <w:r>
        <w:rPr>
          <w:rFonts w:eastAsia="Times New Roman"/>
        </w:rPr>
        <w:t>hexabenzoperopyrene</w:t>
      </w:r>
      <w:proofErr w:type="spellEnd"/>
      <w:r>
        <w:rPr>
          <w:rFonts w:eastAsia="Times New Roman"/>
        </w:rPr>
        <w:t xml:space="preserve">. These spectra were recorded on samples isolated in cryogenic matrices (neon, 5 K). In this case, as a result of the influence of temperature and medium on the experimental spectra, LCOAO tends to predict slightly longer wavelengths than the observed band maxima, frequently coinciding with the onset of bands in the longwave region. </w:t>
      </w:r>
    </w:p>
    <w:tbl>
      <w:tblPr>
        <w:tblW w:w="3000" w:type="pct"/>
        <w:jc w:val="center"/>
        <w:tblCellSpacing w:w="75" w:type="dxa"/>
        <w:tblCellMar>
          <w:top w:w="45" w:type="dxa"/>
          <w:left w:w="45" w:type="dxa"/>
          <w:bottom w:w="45" w:type="dxa"/>
          <w:right w:w="45" w:type="dxa"/>
        </w:tblCellMar>
        <w:tblLook w:val="04A0"/>
      </w:tblPr>
      <w:tblGrid>
        <w:gridCol w:w="3136"/>
        <w:gridCol w:w="3319"/>
        <w:gridCol w:w="4401"/>
      </w:tblGrid>
      <w:tr w:rsidR="005A320E">
        <w:trPr>
          <w:tblCellSpacing w:w="75" w:type="dxa"/>
          <w:jc w:val="center"/>
        </w:trPr>
        <w:tc>
          <w:tcPr>
            <w:tcW w:w="1650" w:type="pct"/>
            <w:vAlign w:val="center"/>
            <w:hideMark/>
          </w:tcPr>
          <w:p w:rsidR="005A320E" w:rsidRDefault="00AA64CB">
            <w:pPr>
              <w:rPr>
                <w:rFonts w:eastAsia="Times New Roman"/>
              </w:rPr>
            </w:pPr>
            <w:r>
              <w:rPr>
                <w:rFonts w:eastAsia="Times New Roman"/>
                <w:noProof/>
                <w:color w:val="0000FF"/>
              </w:rPr>
              <w:drawing>
                <wp:inline distT="0" distB="0" distL="0" distR="0">
                  <wp:extent cx="1847850" cy="1543050"/>
                  <wp:effectExtent l="19050" t="0" r="0" b="0"/>
                  <wp:docPr id="11" name="Picture 11" descr="O:\public_html\LCOAO\PAH\Ovalene.bmp">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public_html\LCOAO\PAH\Ovalene.bmp">
                            <a:hlinkClick r:id="rId36"/>
                          </pic:cNvPr>
                          <pic:cNvPicPr>
                            <a:picLocks noChangeAspect="1" noChangeArrowheads="1"/>
                          </pic:cNvPicPr>
                        </pic:nvPicPr>
                        <pic:blipFill>
                          <a:blip r:link="rId37" cstate="print"/>
                          <a:srcRect/>
                          <a:stretch>
                            <a:fillRect/>
                          </a:stretch>
                        </pic:blipFill>
                        <pic:spPr bwMode="auto">
                          <a:xfrm>
                            <a:off x="0" y="0"/>
                            <a:ext cx="1847850" cy="1543050"/>
                          </a:xfrm>
                          <a:prstGeom prst="rect">
                            <a:avLst/>
                          </a:prstGeom>
                          <a:noFill/>
                          <a:ln w="9525">
                            <a:noFill/>
                            <a:miter lim="800000"/>
                            <a:headEnd/>
                            <a:tailEnd/>
                          </a:ln>
                        </pic:spPr>
                      </pic:pic>
                    </a:graphicData>
                  </a:graphic>
                </wp:inline>
              </w:drawing>
            </w:r>
          </w:p>
        </w:tc>
        <w:tc>
          <w:tcPr>
            <w:tcW w:w="1650" w:type="pct"/>
            <w:vAlign w:val="center"/>
            <w:hideMark/>
          </w:tcPr>
          <w:p w:rsidR="005A320E" w:rsidRDefault="00AA64CB">
            <w:pPr>
              <w:rPr>
                <w:rFonts w:eastAsia="Times New Roman"/>
              </w:rPr>
            </w:pPr>
            <w:r>
              <w:rPr>
                <w:rFonts w:eastAsia="Times New Roman"/>
                <w:noProof/>
                <w:color w:val="0000FF"/>
              </w:rPr>
              <w:drawing>
                <wp:inline distT="0" distB="0" distL="0" distR="0">
                  <wp:extent cx="2009775" cy="1476375"/>
                  <wp:effectExtent l="19050" t="0" r="9525" b="0"/>
                  <wp:docPr id="12" name="Picture 12" descr="O:\public_html\LCOAO\PAH\Terrylene.bmp">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public_html\LCOAO\PAH\Terrylene.bmp">
                            <a:hlinkClick r:id="rId39"/>
                          </pic:cNvPr>
                          <pic:cNvPicPr>
                            <a:picLocks noChangeAspect="1" noChangeArrowheads="1"/>
                          </pic:cNvPicPr>
                        </pic:nvPicPr>
                        <pic:blipFill>
                          <a:blip r:link="rId40" cstate="print"/>
                          <a:srcRect/>
                          <a:stretch>
                            <a:fillRect/>
                          </a:stretch>
                        </pic:blipFill>
                        <pic:spPr bwMode="auto">
                          <a:xfrm>
                            <a:off x="0" y="0"/>
                            <a:ext cx="2009775" cy="1476375"/>
                          </a:xfrm>
                          <a:prstGeom prst="rect">
                            <a:avLst/>
                          </a:prstGeom>
                          <a:noFill/>
                          <a:ln w="9525">
                            <a:noFill/>
                            <a:miter lim="800000"/>
                            <a:headEnd/>
                            <a:tailEnd/>
                          </a:ln>
                        </pic:spPr>
                      </pic:pic>
                    </a:graphicData>
                  </a:graphic>
                </wp:inline>
              </w:drawing>
            </w:r>
          </w:p>
        </w:tc>
        <w:tc>
          <w:tcPr>
            <w:tcW w:w="1650" w:type="pct"/>
            <w:vAlign w:val="center"/>
            <w:hideMark/>
          </w:tcPr>
          <w:p w:rsidR="005A320E" w:rsidRDefault="00AA64CB">
            <w:pPr>
              <w:rPr>
                <w:rFonts w:eastAsia="Times New Roman"/>
              </w:rPr>
            </w:pPr>
            <w:r>
              <w:rPr>
                <w:rFonts w:eastAsia="Times New Roman"/>
                <w:noProof/>
                <w:color w:val="0000FF"/>
              </w:rPr>
              <w:drawing>
                <wp:inline distT="0" distB="0" distL="0" distR="0">
                  <wp:extent cx="2676525" cy="1428750"/>
                  <wp:effectExtent l="19050" t="0" r="9525" b="0"/>
                  <wp:docPr id="13" name="Picture 13" descr="O:\public_html\LCOAO\PAH\Quaterrylene.bmp">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public_html\LCOAO\PAH\Quaterrylene.bmp">
                            <a:hlinkClick r:id="rId42"/>
                          </pic:cNvPr>
                          <pic:cNvPicPr>
                            <a:picLocks noChangeAspect="1" noChangeArrowheads="1"/>
                          </pic:cNvPicPr>
                        </pic:nvPicPr>
                        <pic:blipFill>
                          <a:blip r:link="rId43" cstate="print"/>
                          <a:srcRect/>
                          <a:stretch>
                            <a:fillRect/>
                          </a:stretch>
                        </pic:blipFill>
                        <pic:spPr bwMode="auto">
                          <a:xfrm>
                            <a:off x="0" y="0"/>
                            <a:ext cx="2676525" cy="1428750"/>
                          </a:xfrm>
                          <a:prstGeom prst="rect">
                            <a:avLst/>
                          </a:prstGeom>
                          <a:noFill/>
                          <a:ln w="9525">
                            <a:noFill/>
                            <a:miter lim="800000"/>
                            <a:headEnd/>
                            <a:tailEnd/>
                          </a:ln>
                        </pic:spPr>
                      </pic:pic>
                    </a:graphicData>
                  </a:graphic>
                </wp:inline>
              </w:drawing>
            </w:r>
          </w:p>
        </w:tc>
      </w:tr>
    </w:tbl>
    <w:p w:rsidR="005A320E" w:rsidRDefault="005A320E">
      <w:pPr>
        <w:jc w:val="center"/>
        <w:rPr>
          <w:rFonts w:eastAsia="Times New Roman"/>
          <w:vanish/>
        </w:rPr>
      </w:pPr>
    </w:p>
    <w:tbl>
      <w:tblPr>
        <w:tblW w:w="3000" w:type="pct"/>
        <w:jc w:val="center"/>
        <w:tblCellSpacing w:w="75" w:type="dxa"/>
        <w:tblCellMar>
          <w:top w:w="45" w:type="dxa"/>
          <w:left w:w="45" w:type="dxa"/>
          <w:bottom w:w="45" w:type="dxa"/>
          <w:right w:w="45" w:type="dxa"/>
        </w:tblCellMar>
        <w:tblLook w:val="04A0"/>
      </w:tblPr>
      <w:tblGrid>
        <w:gridCol w:w="4365"/>
        <w:gridCol w:w="4455"/>
      </w:tblGrid>
      <w:tr w:rsidR="005A320E">
        <w:trPr>
          <w:tblCellSpacing w:w="75" w:type="dxa"/>
          <w:jc w:val="center"/>
        </w:trPr>
        <w:tc>
          <w:tcPr>
            <w:tcW w:w="1650" w:type="pct"/>
            <w:vAlign w:val="center"/>
            <w:hideMark/>
          </w:tcPr>
          <w:p w:rsidR="005A320E" w:rsidRDefault="00AA64CB">
            <w:pPr>
              <w:rPr>
                <w:rFonts w:eastAsia="Times New Roman"/>
              </w:rPr>
            </w:pPr>
            <w:r>
              <w:rPr>
                <w:rFonts w:eastAsia="Times New Roman"/>
                <w:noProof/>
                <w:color w:val="0000FF"/>
              </w:rPr>
              <w:drawing>
                <wp:inline distT="0" distB="0" distL="0" distR="0">
                  <wp:extent cx="2543175" cy="1666875"/>
                  <wp:effectExtent l="19050" t="0" r="9525" b="0"/>
                  <wp:docPr id="14" name="Picture 14" descr="O:\public_html\LCOAO\PAH\Dicoronylene.bmp">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public_html\LCOAO\PAH\Dicoronylene.bmp">
                            <a:hlinkClick r:id="rId45"/>
                          </pic:cNvPr>
                          <pic:cNvPicPr>
                            <a:picLocks noChangeAspect="1" noChangeArrowheads="1"/>
                          </pic:cNvPicPr>
                        </pic:nvPicPr>
                        <pic:blipFill>
                          <a:blip r:link="rId46" cstate="print"/>
                          <a:srcRect/>
                          <a:stretch>
                            <a:fillRect/>
                          </a:stretch>
                        </pic:blipFill>
                        <pic:spPr bwMode="auto">
                          <a:xfrm>
                            <a:off x="0" y="0"/>
                            <a:ext cx="2543175" cy="1666875"/>
                          </a:xfrm>
                          <a:prstGeom prst="rect">
                            <a:avLst/>
                          </a:prstGeom>
                          <a:noFill/>
                          <a:ln w="9525">
                            <a:noFill/>
                            <a:miter lim="800000"/>
                            <a:headEnd/>
                            <a:tailEnd/>
                          </a:ln>
                        </pic:spPr>
                      </pic:pic>
                    </a:graphicData>
                  </a:graphic>
                </wp:inline>
              </w:drawing>
            </w:r>
          </w:p>
        </w:tc>
        <w:tc>
          <w:tcPr>
            <w:tcW w:w="1650" w:type="pct"/>
            <w:vAlign w:val="center"/>
            <w:hideMark/>
          </w:tcPr>
          <w:p w:rsidR="005A320E" w:rsidRDefault="00AA64CB">
            <w:pPr>
              <w:rPr>
                <w:rFonts w:eastAsia="Times New Roman"/>
              </w:rPr>
            </w:pPr>
            <w:r>
              <w:rPr>
                <w:rFonts w:eastAsia="Times New Roman"/>
                <w:noProof/>
                <w:color w:val="0000FF"/>
              </w:rPr>
              <w:drawing>
                <wp:inline distT="0" distB="0" distL="0" distR="0">
                  <wp:extent cx="2609850" cy="1619250"/>
                  <wp:effectExtent l="19050" t="0" r="0" b="0"/>
                  <wp:docPr id="15" name="Picture 15" descr="O:\public_html\LCOAO\PAH\Hexabenzoperopyrene.bmp">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public_html\LCOAO\PAH\Hexabenzoperopyrene.bmp">
                            <a:hlinkClick r:id="rId48"/>
                          </pic:cNvPr>
                          <pic:cNvPicPr>
                            <a:picLocks noChangeAspect="1" noChangeArrowheads="1"/>
                          </pic:cNvPicPr>
                        </pic:nvPicPr>
                        <pic:blipFill>
                          <a:blip r:link="rId49" cstate="print"/>
                          <a:srcRect/>
                          <a:stretch>
                            <a:fillRect/>
                          </a:stretch>
                        </pic:blipFill>
                        <pic:spPr bwMode="auto">
                          <a:xfrm>
                            <a:off x="0" y="0"/>
                            <a:ext cx="2609850" cy="1619250"/>
                          </a:xfrm>
                          <a:prstGeom prst="rect">
                            <a:avLst/>
                          </a:prstGeom>
                          <a:noFill/>
                          <a:ln w="9525">
                            <a:noFill/>
                            <a:miter lim="800000"/>
                            <a:headEnd/>
                            <a:tailEnd/>
                          </a:ln>
                        </pic:spPr>
                      </pic:pic>
                    </a:graphicData>
                  </a:graphic>
                </wp:inline>
              </w:drawing>
            </w:r>
          </w:p>
        </w:tc>
      </w:tr>
    </w:tbl>
    <w:p w:rsidR="005A320E" w:rsidRDefault="00AA64CB">
      <w:pPr>
        <w:rPr>
          <w:rFonts w:eastAsia="Times New Roman"/>
        </w:rPr>
      </w:pPr>
      <w:r>
        <w:rPr>
          <w:rFonts w:eastAsia="Times New Roman"/>
        </w:rPr>
        <w:br/>
        <w:t>In summary, the performance of the LCOAO procedure in the prediction of wavenumbers and relative intensities for the medium to large PAHs investigated here is very satisfactory. The LCOAO model should be useful as a theoretical tool in this field. The calculation time for the largest compounds considered in this investigation (</w:t>
      </w:r>
      <w:r>
        <w:rPr>
          <w:rFonts w:eastAsia="Times New Roman"/>
          <w:i/>
          <w:iCs/>
        </w:rPr>
        <w:t>e.g.</w:t>
      </w:r>
      <w:r>
        <w:rPr>
          <w:rFonts w:eastAsia="Times New Roman"/>
        </w:rPr>
        <w:t>, C</w:t>
      </w:r>
      <w:r w:rsidRPr="00841482">
        <w:rPr>
          <w:rFonts w:eastAsia="Times New Roman"/>
          <w:vertAlign w:val="subscript"/>
        </w:rPr>
        <w:t>48</w:t>
      </w:r>
      <w:r w:rsidRPr="00841482">
        <w:rPr>
          <w:rFonts w:eastAsia="Times New Roman"/>
        </w:rPr>
        <w:t>H</w:t>
      </w:r>
      <w:r w:rsidRPr="00841482">
        <w:rPr>
          <w:rFonts w:eastAsia="Times New Roman"/>
          <w:vertAlign w:val="subscript"/>
        </w:rPr>
        <w:t>20</w:t>
      </w:r>
      <w:r>
        <w:rPr>
          <w:rFonts w:eastAsia="Times New Roman"/>
        </w:rPr>
        <w:t xml:space="preserve">) amounts to a couple of minutes on a typical laptop PC. More advanced approaches like the popular TD-DFT procedure would require an exorbitant amount of </w:t>
      </w:r>
      <w:proofErr w:type="spellStart"/>
      <w:proofErr w:type="gramStart"/>
      <w:r>
        <w:rPr>
          <w:rFonts w:eastAsia="Times New Roman"/>
        </w:rPr>
        <w:t>cpu</w:t>
      </w:r>
      <w:proofErr w:type="spellEnd"/>
      <w:proofErr w:type="gramEnd"/>
      <w:r>
        <w:rPr>
          <w:rFonts w:eastAsia="Times New Roman"/>
        </w:rPr>
        <w:t xml:space="preserve"> time for compounds of this size [11]. </w:t>
      </w:r>
      <w:r>
        <w:rPr>
          <w:rFonts w:eastAsia="Times New Roman"/>
        </w:rPr>
        <w:br/>
      </w:r>
      <w:r>
        <w:rPr>
          <w:rFonts w:eastAsia="Times New Roman"/>
        </w:rPr>
        <w:br/>
      </w:r>
      <w:r>
        <w:rPr>
          <w:rFonts w:eastAsia="Times New Roman"/>
        </w:rPr>
        <w:lastRenderedPageBreak/>
        <w:t xml:space="preserve">The electronic spectra of large PAHs are complicated, with a large number of overlapping bands. In order to unravel the complexity of these chromophores, the application of Linear Dichroism (LD) and Magnetic Circular Dichroism (MCD) spectroscopy has proved of great value [12]. LD and MCD spectroscopy provide information on transition moment directions and MCD B-terms, thereby frequently leading to resolution of otherwise overlapping transitions [12]. It should be noted that the LCOAO procedure </w:t>
      </w:r>
      <w:r w:rsidR="00841482">
        <w:rPr>
          <w:rFonts w:eastAsia="Times New Roman"/>
        </w:rPr>
        <w:t>successfully</w:t>
      </w:r>
      <w:r>
        <w:rPr>
          <w:rFonts w:eastAsia="Times New Roman"/>
        </w:rPr>
        <w:t xml:space="preserve"> predicts electronic transition moment directions and MCD B-terms for PAHs, including a variety of aromatic as well as non-aromatic systems, and [4N+2]- as well as [4N]-perimeter π systems, where other semi</w:t>
      </w:r>
      <w:r w:rsidR="00841482">
        <w:rPr>
          <w:rFonts w:eastAsia="Times New Roman"/>
        </w:rPr>
        <w:t>-</w:t>
      </w:r>
      <w:r>
        <w:rPr>
          <w:rFonts w:eastAsia="Times New Roman"/>
        </w:rPr>
        <w:t xml:space="preserve">empirical procedures tend to fail [1,5]. </w:t>
      </w:r>
      <w:r>
        <w:rPr>
          <w:rFonts w:eastAsia="Times New Roman"/>
        </w:rPr>
        <w:br/>
      </w:r>
      <w:r>
        <w:rPr>
          <w:rFonts w:eastAsia="Times New Roman"/>
        </w:rPr>
        <w:br/>
        <w:t xml:space="preserve">PS: Contact </w:t>
      </w:r>
      <w:hyperlink r:id="rId50" w:history="1">
        <w:r>
          <w:rPr>
            <w:rStyle w:val="Hyperlink"/>
            <w:rFonts w:eastAsia="Times New Roman"/>
          </w:rPr>
          <w:t>J. Spanget-Larsen</w:t>
        </w:r>
      </w:hyperlink>
      <w:r>
        <w:rPr>
          <w:rFonts w:eastAsia="Times New Roman"/>
        </w:rPr>
        <w:t xml:space="preserve"> for a copy of the LCOAO Computer Program [6] with input instructions. </w:t>
      </w:r>
      <w:r>
        <w:rPr>
          <w:rFonts w:eastAsia="Times New Roman"/>
        </w:rPr>
        <w:br/>
      </w:r>
      <w:r>
        <w:rPr>
          <w:rFonts w:eastAsia="Times New Roman"/>
          <w:sz w:val="20"/>
          <w:szCs w:val="20"/>
        </w:rPr>
        <w:br/>
        <w:t>[1] (</w:t>
      </w:r>
      <w:proofErr w:type="gramStart"/>
      <w:r>
        <w:rPr>
          <w:rFonts w:eastAsia="Times New Roman"/>
          <w:sz w:val="20"/>
          <w:szCs w:val="20"/>
        </w:rPr>
        <w:t>a</w:t>
      </w:r>
      <w:proofErr w:type="gramEnd"/>
      <w:r>
        <w:rPr>
          <w:rFonts w:eastAsia="Times New Roman"/>
          <w:sz w:val="20"/>
          <w:szCs w:val="20"/>
        </w:rPr>
        <w:t xml:space="preserve">) J. Spanget-Larsen, </w:t>
      </w:r>
      <w:r>
        <w:rPr>
          <w:rFonts w:eastAsia="Times New Roman"/>
          <w:i/>
          <w:iCs/>
          <w:sz w:val="20"/>
          <w:szCs w:val="20"/>
        </w:rPr>
        <w:t xml:space="preserve">Croat. </w:t>
      </w:r>
      <w:proofErr w:type="gramStart"/>
      <w:r>
        <w:rPr>
          <w:rFonts w:eastAsia="Times New Roman"/>
          <w:i/>
          <w:iCs/>
          <w:sz w:val="20"/>
          <w:szCs w:val="20"/>
        </w:rPr>
        <w:t xml:space="preserve">Chem. </w:t>
      </w:r>
      <w:proofErr w:type="spellStart"/>
      <w:r>
        <w:rPr>
          <w:rFonts w:eastAsia="Times New Roman"/>
          <w:i/>
          <w:iCs/>
          <w:sz w:val="20"/>
          <w:szCs w:val="20"/>
        </w:rPr>
        <w:t>Acta</w:t>
      </w:r>
      <w:proofErr w:type="spellEnd"/>
      <w:r>
        <w:rPr>
          <w:rFonts w:eastAsia="Times New Roman"/>
          <w:sz w:val="20"/>
          <w:szCs w:val="20"/>
        </w:rPr>
        <w:t xml:space="preserve"> </w:t>
      </w:r>
      <w:r>
        <w:rPr>
          <w:rFonts w:eastAsia="Times New Roman"/>
          <w:b/>
          <w:bCs/>
          <w:sz w:val="20"/>
          <w:szCs w:val="20"/>
        </w:rPr>
        <w:t>59</w:t>
      </w:r>
      <w:r>
        <w:rPr>
          <w:rFonts w:eastAsia="Times New Roman"/>
          <w:sz w:val="20"/>
          <w:szCs w:val="20"/>
        </w:rPr>
        <w:t xml:space="preserve">, 711 (1986); (b) </w:t>
      </w:r>
      <w:proofErr w:type="spellStart"/>
      <w:r>
        <w:rPr>
          <w:rFonts w:eastAsia="Times New Roman"/>
          <w:i/>
          <w:iCs/>
          <w:sz w:val="20"/>
          <w:szCs w:val="20"/>
        </w:rPr>
        <w:t>Theor</w:t>
      </w:r>
      <w:proofErr w:type="spellEnd"/>
      <w:r>
        <w:rPr>
          <w:rFonts w:eastAsia="Times New Roman"/>
          <w:i/>
          <w:iCs/>
          <w:sz w:val="20"/>
          <w:szCs w:val="20"/>
        </w:rPr>
        <w:t>.</w:t>
      </w:r>
      <w:proofErr w:type="gramEnd"/>
      <w:r>
        <w:rPr>
          <w:rFonts w:eastAsia="Times New Roman"/>
          <w:i/>
          <w:iCs/>
          <w:sz w:val="20"/>
          <w:szCs w:val="20"/>
        </w:rPr>
        <w:t xml:space="preserve"> </w:t>
      </w:r>
      <w:proofErr w:type="gramStart"/>
      <w:r>
        <w:rPr>
          <w:rFonts w:eastAsia="Times New Roman"/>
          <w:i/>
          <w:iCs/>
          <w:sz w:val="20"/>
          <w:szCs w:val="20"/>
        </w:rPr>
        <w:t>Chem. Acc.</w:t>
      </w:r>
      <w:r>
        <w:rPr>
          <w:rFonts w:eastAsia="Times New Roman"/>
          <w:sz w:val="20"/>
          <w:szCs w:val="20"/>
        </w:rPr>
        <w:t xml:space="preserve"> </w:t>
      </w:r>
      <w:r>
        <w:rPr>
          <w:rFonts w:eastAsia="Times New Roman"/>
          <w:b/>
          <w:bCs/>
          <w:sz w:val="20"/>
          <w:szCs w:val="20"/>
        </w:rPr>
        <w:t>98</w:t>
      </w:r>
      <w:r>
        <w:rPr>
          <w:rFonts w:eastAsia="Times New Roman"/>
          <w:sz w:val="20"/>
          <w:szCs w:val="20"/>
        </w:rPr>
        <w:t xml:space="preserve">, 137 (1997) </w:t>
      </w:r>
      <w:r>
        <w:rPr>
          <w:rFonts w:eastAsia="Times New Roman"/>
          <w:sz w:val="20"/>
          <w:szCs w:val="20"/>
        </w:rPr>
        <w:br/>
        <w:t xml:space="preserve">[2] R. </w:t>
      </w:r>
      <w:proofErr w:type="spellStart"/>
      <w:r>
        <w:rPr>
          <w:rFonts w:eastAsia="Times New Roman"/>
          <w:sz w:val="20"/>
          <w:szCs w:val="20"/>
        </w:rPr>
        <w:t>Pariser</w:t>
      </w:r>
      <w:proofErr w:type="spellEnd"/>
      <w:r>
        <w:rPr>
          <w:rFonts w:eastAsia="Times New Roman"/>
          <w:sz w:val="20"/>
          <w:szCs w:val="20"/>
        </w:rPr>
        <w:t xml:space="preserve">, </w:t>
      </w:r>
      <w:r>
        <w:rPr>
          <w:rFonts w:eastAsia="Times New Roman"/>
          <w:i/>
          <w:iCs/>
          <w:sz w:val="20"/>
          <w:szCs w:val="20"/>
        </w:rPr>
        <w:t>J. Chem. Phys.</w:t>
      </w:r>
      <w:r>
        <w:rPr>
          <w:rFonts w:eastAsia="Times New Roman"/>
          <w:sz w:val="20"/>
          <w:szCs w:val="20"/>
        </w:rPr>
        <w:t xml:space="preserve"> </w:t>
      </w:r>
      <w:r>
        <w:rPr>
          <w:rFonts w:eastAsia="Times New Roman"/>
          <w:b/>
          <w:bCs/>
          <w:sz w:val="20"/>
          <w:szCs w:val="20"/>
        </w:rPr>
        <w:t>24</w:t>
      </w:r>
      <w:r>
        <w:rPr>
          <w:rFonts w:eastAsia="Times New Roman"/>
          <w:sz w:val="20"/>
          <w:szCs w:val="20"/>
        </w:rPr>
        <w:t xml:space="preserve">, 250 (1956); J. Michl, </w:t>
      </w:r>
      <w:r>
        <w:rPr>
          <w:rFonts w:eastAsia="Times New Roman"/>
          <w:i/>
          <w:iCs/>
          <w:sz w:val="20"/>
          <w:szCs w:val="20"/>
        </w:rPr>
        <w:t>J. Chem. Phys.</w:t>
      </w:r>
      <w:r>
        <w:rPr>
          <w:rFonts w:eastAsia="Times New Roman"/>
          <w:sz w:val="20"/>
          <w:szCs w:val="20"/>
        </w:rPr>
        <w:t xml:space="preserve"> </w:t>
      </w:r>
      <w:r>
        <w:rPr>
          <w:rFonts w:eastAsia="Times New Roman"/>
          <w:b/>
          <w:bCs/>
          <w:sz w:val="20"/>
          <w:szCs w:val="20"/>
        </w:rPr>
        <w:t>61</w:t>
      </w:r>
      <w:r>
        <w:rPr>
          <w:rFonts w:eastAsia="Times New Roman"/>
          <w:sz w:val="20"/>
          <w:szCs w:val="20"/>
        </w:rPr>
        <w:t xml:space="preserve">, 4270 (1974); R.J. van </w:t>
      </w:r>
      <w:proofErr w:type="spellStart"/>
      <w:r>
        <w:rPr>
          <w:rFonts w:eastAsia="Times New Roman"/>
          <w:sz w:val="20"/>
          <w:szCs w:val="20"/>
        </w:rPr>
        <w:t>der</w:t>
      </w:r>
      <w:proofErr w:type="spellEnd"/>
      <w:r>
        <w:rPr>
          <w:rFonts w:eastAsia="Times New Roman"/>
          <w:sz w:val="20"/>
          <w:szCs w:val="20"/>
        </w:rPr>
        <w:t xml:space="preserve"> </w:t>
      </w:r>
      <w:proofErr w:type="spellStart"/>
      <w:r>
        <w:rPr>
          <w:rFonts w:eastAsia="Times New Roman"/>
          <w:sz w:val="20"/>
          <w:szCs w:val="20"/>
        </w:rPr>
        <w:t>Wal</w:t>
      </w:r>
      <w:proofErr w:type="spellEnd"/>
      <w:r>
        <w:rPr>
          <w:rFonts w:eastAsia="Times New Roman"/>
          <w:sz w:val="20"/>
          <w:szCs w:val="20"/>
        </w:rPr>
        <w:t xml:space="preserve">, P.J. </w:t>
      </w:r>
      <w:proofErr w:type="spellStart"/>
      <w:r>
        <w:rPr>
          <w:rFonts w:eastAsia="Times New Roman"/>
          <w:sz w:val="20"/>
          <w:szCs w:val="20"/>
        </w:rPr>
        <w:t>Zandstra</w:t>
      </w:r>
      <w:proofErr w:type="spellEnd"/>
      <w:r>
        <w:rPr>
          <w:rFonts w:eastAsia="Times New Roman"/>
          <w:sz w:val="20"/>
          <w:szCs w:val="20"/>
        </w:rPr>
        <w:t xml:space="preserve">, </w:t>
      </w:r>
      <w:r>
        <w:rPr>
          <w:rFonts w:eastAsia="Times New Roman"/>
          <w:i/>
          <w:iCs/>
          <w:sz w:val="20"/>
          <w:szCs w:val="20"/>
        </w:rPr>
        <w:t xml:space="preserve">Chem. Phys. </w:t>
      </w:r>
      <w:proofErr w:type="spellStart"/>
      <w:r>
        <w:rPr>
          <w:rFonts w:eastAsia="Times New Roman"/>
          <w:i/>
          <w:iCs/>
          <w:sz w:val="20"/>
          <w:szCs w:val="20"/>
        </w:rPr>
        <w:t>Lett</w:t>
      </w:r>
      <w:proofErr w:type="spellEnd"/>
      <w:r>
        <w:rPr>
          <w:rFonts w:eastAsia="Times New Roman"/>
          <w:i/>
          <w:iCs/>
          <w:sz w:val="20"/>
          <w:szCs w:val="20"/>
        </w:rPr>
        <w:t>.</w:t>
      </w:r>
      <w:proofErr w:type="gramEnd"/>
      <w:r>
        <w:rPr>
          <w:rFonts w:eastAsia="Times New Roman"/>
          <w:sz w:val="20"/>
          <w:szCs w:val="20"/>
        </w:rPr>
        <w:t xml:space="preserve"> </w:t>
      </w:r>
      <w:r>
        <w:rPr>
          <w:rFonts w:eastAsia="Times New Roman"/>
          <w:b/>
          <w:bCs/>
          <w:sz w:val="20"/>
          <w:szCs w:val="20"/>
        </w:rPr>
        <w:t>36</w:t>
      </w:r>
      <w:r>
        <w:rPr>
          <w:rFonts w:eastAsia="Times New Roman"/>
          <w:sz w:val="20"/>
          <w:szCs w:val="20"/>
        </w:rPr>
        <w:t xml:space="preserve">, 500 (1975); R.J. van </w:t>
      </w:r>
      <w:proofErr w:type="spellStart"/>
      <w:r>
        <w:rPr>
          <w:rFonts w:eastAsia="Times New Roman"/>
          <w:sz w:val="20"/>
          <w:szCs w:val="20"/>
        </w:rPr>
        <w:t>der</w:t>
      </w:r>
      <w:proofErr w:type="spellEnd"/>
      <w:r>
        <w:rPr>
          <w:rFonts w:eastAsia="Times New Roman"/>
          <w:sz w:val="20"/>
          <w:szCs w:val="20"/>
        </w:rPr>
        <w:t xml:space="preserve"> </w:t>
      </w:r>
      <w:proofErr w:type="spellStart"/>
      <w:r>
        <w:rPr>
          <w:rFonts w:eastAsia="Times New Roman"/>
          <w:sz w:val="20"/>
          <w:szCs w:val="20"/>
        </w:rPr>
        <w:t>Wal</w:t>
      </w:r>
      <w:proofErr w:type="spellEnd"/>
      <w:r>
        <w:rPr>
          <w:rFonts w:eastAsia="Times New Roman"/>
          <w:sz w:val="20"/>
          <w:szCs w:val="20"/>
        </w:rPr>
        <w:t xml:space="preserve">, P.J. </w:t>
      </w:r>
      <w:proofErr w:type="spellStart"/>
      <w:r>
        <w:rPr>
          <w:rFonts w:eastAsia="Times New Roman"/>
          <w:sz w:val="20"/>
          <w:szCs w:val="20"/>
        </w:rPr>
        <w:t>Zandstra</w:t>
      </w:r>
      <w:proofErr w:type="spellEnd"/>
      <w:r>
        <w:rPr>
          <w:rFonts w:eastAsia="Times New Roman"/>
          <w:sz w:val="20"/>
          <w:szCs w:val="20"/>
        </w:rPr>
        <w:t xml:space="preserve">, </w:t>
      </w:r>
      <w:r>
        <w:rPr>
          <w:rFonts w:eastAsia="Times New Roman"/>
          <w:i/>
          <w:iCs/>
          <w:sz w:val="20"/>
          <w:szCs w:val="20"/>
        </w:rPr>
        <w:t>J. Chem. Phys.</w:t>
      </w:r>
      <w:r>
        <w:rPr>
          <w:rFonts w:eastAsia="Times New Roman"/>
          <w:sz w:val="20"/>
          <w:szCs w:val="20"/>
        </w:rPr>
        <w:t xml:space="preserve"> </w:t>
      </w:r>
      <w:r>
        <w:rPr>
          <w:rFonts w:eastAsia="Times New Roman"/>
          <w:b/>
          <w:bCs/>
          <w:sz w:val="20"/>
          <w:szCs w:val="20"/>
        </w:rPr>
        <w:t>64</w:t>
      </w:r>
      <w:r>
        <w:rPr>
          <w:rFonts w:eastAsia="Times New Roman"/>
          <w:sz w:val="20"/>
          <w:szCs w:val="20"/>
        </w:rPr>
        <w:t xml:space="preserve">, 2261 (1976); M.V. van </w:t>
      </w:r>
      <w:proofErr w:type="spellStart"/>
      <w:r>
        <w:rPr>
          <w:rFonts w:eastAsia="Times New Roman"/>
          <w:sz w:val="20"/>
          <w:szCs w:val="20"/>
        </w:rPr>
        <w:t>Paridon</w:t>
      </w:r>
      <w:proofErr w:type="spellEnd"/>
      <w:r>
        <w:rPr>
          <w:rFonts w:eastAsia="Times New Roman"/>
          <w:sz w:val="20"/>
          <w:szCs w:val="20"/>
        </w:rPr>
        <w:t xml:space="preserve">, R.E. </w:t>
      </w:r>
      <w:proofErr w:type="spellStart"/>
      <w:r>
        <w:rPr>
          <w:rFonts w:eastAsia="Times New Roman"/>
          <w:sz w:val="20"/>
          <w:szCs w:val="20"/>
        </w:rPr>
        <w:t>Koning</w:t>
      </w:r>
      <w:proofErr w:type="spellEnd"/>
      <w:r>
        <w:rPr>
          <w:rFonts w:eastAsia="Times New Roman"/>
          <w:sz w:val="20"/>
          <w:szCs w:val="20"/>
        </w:rPr>
        <w:t xml:space="preserve">, P.J. </w:t>
      </w:r>
      <w:proofErr w:type="spellStart"/>
      <w:r>
        <w:rPr>
          <w:rFonts w:eastAsia="Times New Roman"/>
          <w:sz w:val="20"/>
          <w:szCs w:val="20"/>
        </w:rPr>
        <w:t>Zandstra</w:t>
      </w:r>
      <w:proofErr w:type="spellEnd"/>
      <w:r>
        <w:rPr>
          <w:rFonts w:eastAsia="Times New Roman"/>
          <w:sz w:val="20"/>
          <w:szCs w:val="20"/>
        </w:rPr>
        <w:t xml:space="preserve">, </w:t>
      </w:r>
      <w:r>
        <w:rPr>
          <w:rFonts w:eastAsia="Times New Roman"/>
          <w:i/>
          <w:iCs/>
          <w:sz w:val="20"/>
          <w:szCs w:val="20"/>
        </w:rPr>
        <w:t xml:space="preserve">Chem. Phys. </w:t>
      </w:r>
      <w:proofErr w:type="spellStart"/>
      <w:r>
        <w:rPr>
          <w:rFonts w:eastAsia="Times New Roman"/>
          <w:i/>
          <w:iCs/>
          <w:sz w:val="20"/>
          <w:szCs w:val="20"/>
        </w:rPr>
        <w:t>Lett</w:t>
      </w:r>
      <w:proofErr w:type="spellEnd"/>
      <w:r>
        <w:rPr>
          <w:rFonts w:eastAsia="Times New Roman"/>
          <w:i/>
          <w:iCs/>
          <w:sz w:val="20"/>
          <w:szCs w:val="20"/>
        </w:rPr>
        <w:t>.</w:t>
      </w:r>
      <w:r>
        <w:rPr>
          <w:rFonts w:eastAsia="Times New Roman"/>
          <w:sz w:val="20"/>
          <w:szCs w:val="20"/>
        </w:rPr>
        <w:t xml:space="preserve"> </w:t>
      </w:r>
      <w:r>
        <w:rPr>
          <w:rFonts w:eastAsia="Times New Roman"/>
          <w:b/>
          <w:bCs/>
          <w:sz w:val="20"/>
          <w:szCs w:val="20"/>
        </w:rPr>
        <w:t>61</w:t>
      </w:r>
      <w:r>
        <w:rPr>
          <w:rFonts w:eastAsia="Times New Roman"/>
          <w:sz w:val="20"/>
          <w:szCs w:val="20"/>
        </w:rPr>
        <w:t xml:space="preserve">, 258 (1979); J. Michl, </w:t>
      </w:r>
      <w:r>
        <w:rPr>
          <w:rFonts w:eastAsia="Times New Roman"/>
          <w:i/>
          <w:iCs/>
          <w:sz w:val="20"/>
          <w:szCs w:val="20"/>
        </w:rPr>
        <w:t>Int. J. Quantum Chem.</w:t>
      </w:r>
      <w:r>
        <w:rPr>
          <w:rFonts w:eastAsia="Times New Roman"/>
          <w:sz w:val="20"/>
          <w:szCs w:val="20"/>
        </w:rPr>
        <w:t xml:space="preserve"> </w:t>
      </w:r>
      <w:r>
        <w:rPr>
          <w:rFonts w:eastAsia="Times New Roman"/>
          <w:b/>
          <w:bCs/>
          <w:sz w:val="20"/>
          <w:szCs w:val="20"/>
        </w:rPr>
        <w:t>S10</w:t>
      </w:r>
      <w:r>
        <w:rPr>
          <w:rFonts w:eastAsia="Times New Roman"/>
          <w:sz w:val="20"/>
          <w:szCs w:val="20"/>
        </w:rPr>
        <w:t xml:space="preserve">, 107 (1976); T.S. Tseng, J. Michl, </w:t>
      </w:r>
      <w:r>
        <w:rPr>
          <w:rFonts w:eastAsia="Times New Roman"/>
          <w:i/>
          <w:iCs/>
          <w:sz w:val="20"/>
          <w:szCs w:val="20"/>
        </w:rPr>
        <w:t>J. Am. Chem. Soc.</w:t>
      </w:r>
      <w:r>
        <w:rPr>
          <w:rFonts w:eastAsia="Times New Roman"/>
          <w:sz w:val="20"/>
          <w:szCs w:val="20"/>
        </w:rPr>
        <w:t xml:space="preserve"> </w:t>
      </w:r>
      <w:r>
        <w:rPr>
          <w:rFonts w:eastAsia="Times New Roman"/>
          <w:b/>
          <w:bCs/>
          <w:sz w:val="20"/>
          <w:szCs w:val="20"/>
        </w:rPr>
        <w:t>98</w:t>
      </w:r>
      <w:r>
        <w:rPr>
          <w:rFonts w:eastAsia="Times New Roman"/>
          <w:sz w:val="20"/>
          <w:szCs w:val="20"/>
        </w:rPr>
        <w:t xml:space="preserve">, 6138 (1976) </w:t>
      </w:r>
      <w:r>
        <w:rPr>
          <w:rFonts w:eastAsia="Times New Roman"/>
          <w:sz w:val="20"/>
          <w:szCs w:val="20"/>
        </w:rPr>
        <w:br/>
        <w:t xml:space="preserve">[3] J. Spanget-Larsen, </w:t>
      </w:r>
      <w:proofErr w:type="spellStart"/>
      <w:r>
        <w:rPr>
          <w:rFonts w:eastAsia="Times New Roman"/>
          <w:i/>
          <w:iCs/>
          <w:sz w:val="20"/>
          <w:szCs w:val="20"/>
        </w:rPr>
        <w:t>Theor</w:t>
      </w:r>
      <w:proofErr w:type="spellEnd"/>
      <w:r>
        <w:rPr>
          <w:rFonts w:eastAsia="Times New Roman"/>
          <w:i/>
          <w:iCs/>
          <w:sz w:val="20"/>
          <w:szCs w:val="20"/>
        </w:rPr>
        <w:t xml:space="preserve">. </w:t>
      </w:r>
      <w:proofErr w:type="spellStart"/>
      <w:proofErr w:type="gramStart"/>
      <w:r>
        <w:rPr>
          <w:rFonts w:eastAsia="Times New Roman"/>
          <w:i/>
          <w:iCs/>
          <w:sz w:val="20"/>
          <w:szCs w:val="20"/>
        </w:rPr>
        <w:t>Chim</w:t>
      </w:r>
      <w:proofErr w:type="spellEnd"/>
      <w:r>
        <w:rPr>
          <w:rFonts w:eastAsia="Times New Roman"/>
          <w:i/>
          <w:iCs/>
          <w:sz w:val="20"/>
          <w:szCs w:val="20"/>
        </w:rPr>
        <w:t>.</w:t>
      </w:r>
      <w:proofErr w:type="gramEnd"/>
      <w:r>
        <w:rPr>
          <w:rFonts w:eastAsia="Times New Roman"/>
          <w:i/>
          <w:iCs/>
          <w:sz w:val="20"/>
          <w:szCs w:val="20"/>
        </w:rPr>
        <w:t xml:space="preserve"> </w:t>
      </w:r>
      <w:proofErr w:type="spellStart"/>
      <w:proofErr w:type="gramStart"/>
      <w:r>
        <w:rPr>
          <w:rFonts w:eastAsia="Times New Roman"/>
          <w:i/>
          <w:iCs/>
          <w:sz w:val="20"/>
          <w:szCs w:val="20"/>
        </w:rPr>
        <w:t>Acta</w:t>
      </w:r>
      <w:proofErr w:type="spellEnd"/>
      <w:r>
        <w:rPr>
          <w:rFonts w:eastAsia="Times New Roman"/>
          <w:sz w:val="20"/>
          <w:szCs w:val="20"/>
        </w:rPr>
        <w:t xml:space="preserve"> </w:t>
      </w:r>
      <w:r>
        <w:rPr>
          <w:rFonts w:eastAsia="Times New Roman"/>
          <w:b/>
          <w:bCs/>
          <w:sz w:val="20"/>
          <w:szCs w:val="20"/>
        </w:rPr>
        <w:t>55</w:t>
      </w:r>
      <w:r>
        <w:rPr>
          <w:rFonts w:eastAsia="Times New Roman"/>
          <w:sz w:val="20"/>
          <w:szCs w:val="20"/>
        </w:rPr>
        <w:t xml:space="preserve">, 165 (1980) </w:t>
      </w:r>
      <w:r>
        <w:rPr>
          <w:rFonts w:eastAsia="Times New Roman"/>
          <w:sz w:val="20"/>
          <w:szCs w:val="20"/>
        </w:rPr>
        <w:br/>
        <w:t>[4] P.-O.</w:t>
      </w:r>
      <w:proofErr w:type="gramEnd"/>
      <w:r>
        <w:rPr>
          <w:rFonts w:eastAsia="Times New Roman"/>
          <w:sz w:val="20"/>
          <w:szCs w:val="20"/>
        </w:rPr>
        <w:t xml:space="preserve"> </w:t>
      </w:r>
      <w:proofErr w:type="spellStart"/>
      <w:proofErr w:type="gramStart"/>
      <w:r>
        <w:rPr>
          <w:rFonts w:eastAsia="Times New Roman"/>
          <w:sz w:val="20"/>
          <w:szCs w:val="20"/>
        </w:rPr>
        <w:t>Löwdin</w:t>
      </w:r>
      <w:proofErr w:type="spellEnd"/>
      <w:r>
        <w:rPr>
          <w:rFonts w:eastAsia="Times New Roman"/>
          <w:sz w:val="20"/>
          <w:szCs w:val="20"/>
        </w:rPr>
        <w:t xml:space="preserve">, </w:t>
      </w:r>
      <w:r>
        <w:rPr>
          <w:rFonts w:eastAsia="Times New Roman"/>
          <w:i/>
          <w:iCs/>
          <w:sz w:val="20"/>
          <w:szCs w:val="20"/>
        </w:rPr>
        <w:t>J. Chem. Phys.</w:t>
      </w:r>
      <w:r>
        <w:rPr>
          <w:rFonts w:eastAsia="Times New Roman"/>
          <w:sz w:val="20"/>
          <w:szCs w:val="20"/>
        </w:rPr>
        <w:t xml:space="preserve"> </w:t>
      </w:r>
      <w:r>
        <w:rPr>
          <w:rFonts w:eastAsia="Times New Roman"/>
          <w:b/>
          <w:bCs/>
          <w:sz w:val="20"/>
          <w:szCs w:val="20"/>
        </w:rPr>
        <w:t>18</w:t>
      </w:r>
      <w:r>
        <w:rPr>
          <w:rFonts w:eastAsia="Times New Roman"/>
          <w:sz w:val="20"/>
          <w:szCs w:val="20"/>
        </w:rPr>
        <w:t xml:space="preserve">, 365 (1950); </w:t>
      </w:r>
      <w:r>
        <w:rPr>
          <w:rFonts w:eastAsia="Times New Roman"/>
          <w:b/>
          <w:bCs/>
          <w:sz w:val="20"/>
          <w:szCs w:val="20"/>
        </w:rPr>
        <w:t>21</w:t>
      </w:r>
      <w:r>
        <w:rPr>
          <w:rFonts w:eastAsia="Times New Roman"/>
          <w:sz w:val="20"/>
          <w:szCs w:val="20"/>
        </w:rPr>
        <w:t xml:space="preserve">, 496 (1953); </w:t>
      </w:r>
      <w:r>
        <w:rPr>
          <w:rFonts w:eastAsia="Times New Roman"/>
          <w:i/>
          <w:iCs/>
          <w:sz w:val="20"/>
          <w:szCs w:val="20"/>
        </w:rPr>
        <w:t>Adv. Quantum Chem.</w:t>
      </w:r>
      <w:r>
        <w:rPr>
          <w:rFonts w:eastAsia="Times New Roman"/>
          <w:sz w:val="20"/>
          <w:szCs w:val="20"/>
        </w:rPr>
        <w:t xml:space="preserve"> </w:t>
      </w:r>
      <w:r>
        <w:rPr>
          <w:rFonts w:eastAsia="Times New Roman"/>
          <w:b/>
          <w:bCs/>
          <w:sz w:val="20"/>
          <w:szCs w:val="20"/>
        </w:rPr>
        <w:t>5</w:t>
      </w:r>
      <w:r>
        <w:rPr>
          <w:rFonts w:eastAsia="Times New Roman"/>
          <w:sz w:val="20"/>
          <w:szCs w:val="20"/>
        </w:rPr>
        <w:t xml:space="preserve">, 185 (1978); </w:t>
      </w:r>
      <w:r>
        <w:rPr>
          <w:rFonts w:eastAsia="Times New Roman"/>
          <w:sz w:val="20"/>
          <w:szCs w:val="20"/>
        </w:rPr>
        <w:br/>
        <w:t xml:space="preserve">[5] J. Spanget-Larsen, </w:t>
      </w:r>
      <w:r>
        <w:rPr>
          <w:rFonts w:eastAsia="Times New Roman"/>
          <w:i/>
          <w:iCs/>
          <w:sz w:val="20"/>
          <w:szCs w:val="20"/>
        </w:rPr>
        <w:t>Croat.</w:t>
      </w:r>
      <w:proofErr w:type="gramEnd"/>
      <w:r>
        <w:rPr>
          <w:rFonts w:eastAsia="Times New Roman"/>
          <w:i/>
          <w:iCs/>
          <w:sz w:val="20"/>
          <w:szCs w:val="20"/>
        </w:rPr>
        <w:t xml:space="preserve"> Chem. </w:t>
      </w:r>
      <w:proofErr w:type="spellStart"/>
      <w:r>
        <w:rPr>
          <w:rFonts w:eastAsia="Times New Roman"/>
          <w:i/>
          <w:iCs/>
          <w:sz w:val="20"/>
          <w:szCs w:val="20"/>
        </w:rPr>
        <w:t>Acta</w:t>
      </w:r>
      <w:proofErr w:type="spellEnd"/>
      <w:r>
        <w:rPr>
          <w:rFonts w:eastAsia="Times New Roman"/>
          <w:sz w:val="20"/>
          <w:szCs w:val="20"/>
        </w:rPr>
        <w:t xml:space="preserve"> </w:t>
      </w:r>
      <w:r>
        <w:rPr>
          <w:rFonts w:eastAsia="Times New Roman"/>
          <w:b/>
          <w:bCs/>
          <w:sz w:val="20"/>
          <w:szCs w:val="20"/>
        </w:rPr>
        <w:t>57</w:t>
      </w:r>
      <w:r>
        <w:rPr>
          <w:rFonts w:eastAsia="Times New Roman"/>
          <w:sz w:val="20"/>
          <w:szCs w:val="20"/>
        </w:rPr>
        <w:t xml:space="preserve">, 991 (1984); J. Waluk, A. </w:t>
      </w:r>
      <w:proofErr w:type="spellStart"/>
      <w:r>
        <w:rPr>
          <w:rFonts w:eastAsia="Times New Roman"/>
          <w:sz w:val="20"/>
          <w:szCs w:val="20"/>
        </w:rPr>
        <w:t>Mordzinski</w:t>
      </w:r>
      <w:proofErr w:type="spellEnd"/>
      <w:r>
        <w:rPr>
          <w:rFonts w:eastAsia="Times New Roman"/>
          <w:sz w:val="20"/>
          <w:szCs w:val="20"/>
        </w:rPr>
        <w:t xml:space="preserve">, J. Spanget-Larsen, E.W. Thulstrup, </w:t>
      </w:r>
      <w:r>
        <w:rPr>
          <w:rFonts w:eastAsia="Times New Roman"/>
          <w:i/>
          <w:iCs/>
          <w:sz w:val="20"/>
          <w:szCs w:val="20"/>
        </w:rPr>
        <w:t>Chem. Phys.</w:t>
      </w:r>
      <w:r>
        <w:rPr>
          <w:rFonts w:eastAsia="Times New Roman"/>
          <w:sz w:val="20"/>
          <w:szCs w:val="20"/>
        </w:rPr>
        <w:t xml:space="preserve"> </w:t>
      </w:r>
      <w:r>
        <w:rPr>
          <w:rFonts w:eastAsia="Times New Roman"/>
          <w:b/>
          <w:bCs/>
          <w:sz w:val="20"/>
          <w:szCs w:val="20"/>
        </w:rPr>
        <w:t>124</w:t>
      </w:r>
      <w:r>
        <w:rPr>
          <w:rFonts w:eastAsia="Times New Roman"/>
          <w:sz w:val="20"/>
          <w:szCs w:val="20"/>
        </w:rPr>
        <w:t xml:space="preserve">, 103 (1988); J. Spanget-Larsen, J. Waluk, E.W. Thulstrup, </w:t>
      </w:r>
      <w:r>
        <w:rPr>
          <w:rFonts w:eastAsia="Times New Roman"/>
          <w:i/>
          <w:iCs/>
          <w:sz w:val="20"/>
          <w:szCs w:val="20"/>
        </w:rPr>
        <w:t>J. Phys. Chem.</w:t>
      </w:r>
      <w:r>
        <w:rPr>
          <w:rFonts w:eastAsia="Times New Roman"/>
          <w:sz w:val="20"/>
          <w:szCs w:val="20"/>
        </w:rPr>
        <w:t xml:space="preserve"> </w:t>
      </w:r>
      <w:r>
        <w:rPr>
          <w:rFonts w:eastAsia="Times New Roman"/>
          <w:b/>
          <w:bCs/>
          <w:sz w:val="20"/>
          <w:szCs w:val="20"/>
        </w:rPr>
        <w:t>94</w:t>
      </w:r>
      <w:r>
        <w:rPr>
          <w:rFonts w:eastAsia="Times New Roman"/>
          <w:sz w:val="20"/>
          <w:szCs w:val="20"/>
        </w:rPr>
        <w:t xml:space="preserve">, 1800, 6926 (1990); J. Spanget-Larsen, J. Waluk, S. Eriksson, E.W. Thulstrup, </w:t>
      </w:r>
      <w:r>
        <w:rPr>
          <w:rFonts w:eastAsia="Times New Roman"/>
          <w:i/>
          <w:iCs/>
          <w:sz w:val="20"/>
          <w:szCs w:val="20"/>
        </w:rPr>
        <w:t>J. Am. Chem. Soc.</w:t>
      </w:r>
      <w:r>
        <w:rPr>
          <w:rFonts w:eastAsia="Times New Roman"/>
          <w:sz w:val="20"/>
          <w:szCs w:val="20"/>
        </w:rPr>
        <w:t xml:space="preserve"> </w:t>
      </w:r>
      <w:r>
        <w:rPr>
          <w:rFonts w:eastAsia="Times New Roman"/>
          <w:b/>
          <w:bCs/>
          <w:sz w:val="20"/>
          <w:szCs w:val="20"/>
        </w:rPr>
        <w:t>114</w:t>
      </w:r>
      <w:r>
        <w:rPr>
          <w:rFonts w:eastAsia="Times New Roman"/>
          <w:sz w:val="20"/>
          <w:szCs w:val="20"/>
        </w:rPr>
        <w:t xml:space="preserve">, 1942 (1992); J. </w:t>
      </w:r>
      <w:proofErr w:type="spellStart"/>
      <w:r>
        <w:rPr>
          <w:rFonts w:eastAsia="Times New Roman"/>
          <w:sz w:val="20"/>
          <w:szCs w:val="20"/>
        </w:rPr>
        <w:t>Fleischhauer</w:t>
      </w:r>
      <w:proofErr w:type="spellEnd"/>
      <w:r>
        <w:rPr>
          <w:rFonts w:eastAsia="Times New Roman"/>
          <w:sz w:val="20"/>
          <w:szCs w:val="20"/>
        </w:rPr>
        <w:t xml:space="preserve">, U. </w:t>
      </w:r>
      <w:proofErr w:type="spellStart"/>
      <w:r>
        <w:rPr>
          <w:rFonts w:eastAsia="Times New Roman"/>
          <w:sz w:val="20"/>
          <w:szCs w:val="20"/>
        </w:rPr>
        <w:t>Höweler</w:t>
      </w:r>
      <w:proofErr w:type="spellEnd"/>
      <w:r>
        <w:rPr>
          <w:rFonts w:eastAsia="Times New Roman"/>
          <w:sz w:val="20"/>
          <w:szCs w:val="20"/>
        </w:rPr>
        <w:t xml:space="preserve">, J. Spanget-Larsen, G. </w:t>
      </w:r>
      <w:proofErr w:type="spellStart"/>
      <w:r>
        <w:rPr>
          <w:rFonts w:eastAsia="Times New Roman"/>
          <w:sz w:val="20"/>
          <w:szCs w:val="20"/>
        </w:rPr>
        <w:t>Raabe</w:t>
      </w:r>
      <w:proofErr w:type="spellEnd"/>
      <w:r>
        <w:rPr>
          <w:rFonts w:eastAsia="Times New Roman"/>
          <w:sz w:val="20"/>
          <w:szCs w:val="20"/>
        </w:rPr>
        <w:t xml:space="preserve">, J. Michl, </w:t>
      </w:r>
      <w:r>
        <w:rPr>
          <w:rFonts w:eastAsia="Times New Roman"/>
          <w:i/>
          <w:iCs/>
          <w:sz w:val="20"/>
          <w:szCs w:val="20"/>
        </w:rPr>
        <w:t xml:space="preserve">J. Phys. Chem. </w:t>
      </w:r>
      <w:proofErr w:type="gramStart"/>
      <w:r>
        <w:rPr>
          <w:rFonts w:eastAsia="Times New Roman"/>
          <w:i/>
          <w:iCs/>
          <w:sz w:val="20"/>
          <w:szCs w:val="20"/>
        </w:rPr>
        <w:t>A</w:t>
      </w:r>
      <w:r>
        <w:rPr>
          <w:rFonts w:eastAsia="Times New Roman"/>
          <w:sz w:val="20"/>
          <w:szCs w:val="20"/>
        </w:rPr>
        <w:t xml:space="preserve"> </w:t>
      </w:r>
      <w:r>
        <w:rPr>
          <w:rFonts w:eastAsia="Times New Roman"/>
          <w:b/>
          <w:bCs/>
          <w:sz w:val="20"/>
          <w:szCs w:val="20"/>
        </w:rPr>
        <w:t>108</w:t>
      </w:r>
      <w:r>
        <w:rPr>
          <w:rFonts w:eastAsia="Times New Roman"/>
          <w:sz w:val="20"/>
          <w:szCs w:val="20"/>
        </w:rPr>
        <w:t xml:space="preserve">, 3225 (2004); C. </w:t>
      </w:r>
      <w:proofErr w:type="spellStart"/>
      <w:r>
        <w:rPr>
          <w:rFonts w:eastAsia="Times New Roman"/>
          <w:sz w:val="20"/>
          <w:szCs w:val="20"/>
        </w:rPr>
        <w:t>Johannessen</w:t>
      </w:r>
      <w:proofErr w:type="spellEnd"/>
      <w:r>
        <w:rPr>
          <w:rFonts w:eastAsia="Times New Roman"/>
          <w:sz w:val="20"/>
          <w:szCs w:val="20"/>
        </w:rPr>
        <w:t xml:space="preserve">, A. </w:t>
      </w:r>
      <w:proofErr w:type="spellStart"/>
      <w:r>
        <w:rPr>
          <w:rFonts w:eastAsia="Times New Roman"/>
          <w:sz w:val="20"/>
          <w:szCs w:val="20"/>
        </w:rPr>
        <w:t>Gorski</w:t>
      </w:r>
      <w:proofErr w:type="spellEnd"/>
      <w:r>
        <w:rPr>
          <w:rFonts w:eastAsia="Times New Roman"/>
          <w:sz w:val="20"/>
          <w:szCs w:val="20"/>
        </w:rPr>
        <w:t xml:space="preserve">, J. Waluk, J. Spanget-Larsen, </w:t>
      </w:r>
      <w:proofErr w:type="spellStart"/>
      <w:r>
        <w:rPr>
          <w:rFonts w:eastAsia="Times New Roman"/>
          <w:i/>
          <w:iCs/>
          <w:sz w:val="20"/>
          <w:szCs w:val="20"/>
        </w:rPr>
        <w:t>Polycycl</w:t>
      </w:r>
      <w:proofErr w:type="spellEnd"/>
      <w:r>
        <w:rPr>
          <w:rFonts w:eastAsia="Times New Roman"/>
          <w:i/>
          <w:iCs/>
          <w:sz w:val="20"/>
          <w:szCs w:val="20"/>
        </w:rPr>
        <w:t>.</w:t>
      </w:r>
      <w:proofErr w:type="gramEnd"/>
      <w:r>
        <w:rPr>
          <w:rFonts w:eastAsia="Times New Roman"/>
          <w:i/>
          <w:iCs/>
          <w:sz w:val="20"/>
          <w:szCs w:val="20"/>
        </w:rPr>
        <w:t xml:space="preserve"> </w:t>
      </w:r>
      <w:proofErr w:type="spellStart"/>
      <w:proofErr w:type="gramStart"/>
      <w:r>
        <w:rPr>
          <w:rFonts w:eastAsia="Times New Roman"/>
          <w:i/>
          <w:iCs/>
          <w:sz w:val="20"/>
          <w:szCs w:val="20"/>
        </w:rPr>
        <w:t>Arom</w:t>
      </w:r>
      <w:proofErr w:type="spellEnd"/>
      <w:r>
        <w:rPr>
          <w:rFonts w:eastAsia="Times New Roman"/>
          <w:i/>
          <w:iCs/>
          <w:sz w:val="20"/>
          <w:szCs w:val="20"/>
        </w:rPr>
        <w:t>.</w:t>
      </w:r>
      <w:proofErr w:type="gramEnd"/>
      <w:r>
        <w:rPr>
          <w:rFonts w:eastAsia="Times New Roman"/>
          <w:i/>
          <w:iCs/>
          <w:sz w:val="20"/>
          <w:szCs w:val="20"/>
        </w:rPr>
        <w:t xml:space="preserve"> </w:t>
      </w:r>
      <w:proofErr w:type="spellStart"/>
      <w:proofErr w:type="gramStart"/>
      <w:r>
        <w:rPr>
          <w:rFonts w:eastAsia="Times New Roman"/>
          <w:i/>
          <w:iCs/>
          <w:sz w:val="20"/>
          <w:szCs w:val="20"/>
        </w:rPr>
        <w:t>Compds</w:t>
      </w:r>
      <w:proofErr w:type="spellEnd"/>
      <w:r>
        <w:rPr>
          <w:rFonts w:eastAsia="Times New Roman"/>
          <w:i/>
          <w:iCs/>
          <w:sz w:val="20"/>
          <w:szCs w:val="20"/>
        </w:rPr>
        <w:t>.</w:t>
      </w:r>
      <w:proofErr w:type="gramEnd"/>
      <w:r>
        <w:rPr>
          <w:rFonts w:eastAsia="Times New Roman"/>
          <w:sz w:val="20"/>
          <w:szCs w:val="20"/>
        </w:rPr>
        <w:t xml:space="preserve"> </w:t>
      </w:r>
      <w:r>
        <w:rPr>
          <w:rFonts w:eastAsia="Times New Roman"/>
          <w:b/>
          <w:bCs/>
          <w:sz w:val="20"/>
          <w:szCs w:val="20"/>
        </w:rPr>
        <w:t>25</w:t>
      </w:r>
      <w:r>
        <w:rPr>
          <w:rFonts w:eastAsia="Times New Roman"/>
          <w:sz w:val="20"/>
          <w:szCs w:val="20"/>
        </w:rPr>
        <w:t xml:space="preserve">, 23 (2005); D.D. Nguyen, N.C. Jones, S.V. Hoffmann, S.H. Andersen, P.W. Thulstrup, J. Spanget-Larsen, </w:t>
      </w:r>
      <w:r>
        <w:rPr>
          <w:rFonts w:eastAsia="Times New Roman"/>
          <w:i/>
          <w:iCs/>
          <w:sz w:val="20"/>
          <w:szCs w:val="20"/>
        </w:rPr>
        <w:t>Chem. Phys.</w:t>
      </w:r>
      <w:r>
        <w:rPr>
          <w:rFonts w:eastAsia="Times New Roman"/>
          <w:sz w:val="20"/>
          <w:szCs w:val="20"/>
        </w:rPr>
        <w:t xml:space="preserve"> </w:t>
      </w:r>
      <w:r>
        <w:rPr>
          <w:rFonts w:eastAsia="Times New Roman"/>
          <w:b/>
          <w:bCs/>
          <w:sz w:val="20"/>
          <w:szCs w:val="20"/>
        </w:rPr>
        <w:t>392</w:t>
      </w:r>
      <w:r>
        <w:rPr>
          <w:rFonts w:eastAsia="Times New Roman"/>
          <w:sz w:val="20"/>
          <w:szCs w:val="20"/>
        </w:rPr>
        <w:t xml:space="preserve">, 130 (2012) </w:t>
      </w:r>
      <w:r>
        <w:rPr>
          <w:rFonts w:eastAsia="Times New Roman"/>
          <w:sz w:val="20"/>
          <w:szCs w:val="20"/>
        </w:rPr>
        <w:br/>
        <w:t xml:space="preserve">[6] B.K.V. Hansen, J. Spanget-Larsen, </w:t>
      </w:r>
      <w:r>
        <w:rPr>
          <w:rFonts w:eastAsia="Times New Roman"/>
          <w:i/>
          <w:iCs/>
          <w:sz w:val="20"/>
          <w:szCs w:val="20"/>
        </w:rPr>
        <w:t>Computer Program LCOAO300</w:t>
      </w:r>
      <w:r>
        <w:rPr>
          <w:rFonts w:eastAsia="Times New Roman"/>
          <w:sz w:val="20"/>
          <w:szCs w:val="20"/>
        </w:rPr>
        <w:t xml:space="preserve">, Roskilde University 2006 </w:t>
      </w:r>
      <w:r>
        <w:rPr>
          <w:rFonts w:eastAsia="Times New Roman"/>
          <w:sz w:val="20"/>
          <w:szCs w:val="20"/>
        </w:rPr>
        <w:br/>
        <w:t xml:space="preserve">[7] K.H. </w:t>
      </w:r>
      <w:proofErr w:type="spellStart"/>
      <w:r>
        <w:rPr>
          <w:rFonts w:eastAsia="Times New Roman"/>
          <w:sz w:val="20"/>
          <w:szCs w:val="20"/>
        </w:rPr>
        <w:t>Swiatek</w:t>
      </w:r>
      <w:proofErr w:type="spellEnd"/>
      <w:r>
        <w:rPr>
          <w:rFonts w:eastAsia="Times New Roman"/>
          <w:sz w:val="20"/>
          <w:szCs w:val="20"/>
        </w:rPr>
        <w:t xml:space="preserve">, Student Project Report, Roskilde University 2009 (in Danish) </w:t>
      </w:r>
      <w:r>
        <w:rPr>
          <w:rFonts w:eastAsia="Times New Roman"/>
          <w:sz w:val="20"/>
          <w:szCs w:val="20"/>
        </w:rPr>
        <w:br/>
        <w:t xml:space="preserve">[8] </w:t>
      </w:r>
      <w:proofErr w:type="spellStart"/>
      <w:r>
        <w:rPr>
          <w:rFonts w:eastAsia="Times New Roman"/>
          <w:sz w:val="20"/>
          <w:szCs w:val="20"/>
        </w:rPr>
        <w:t>Jinno</w:t>
      </w:r>
      <w:proofErr w:type="spellEnd"/>
      <w:r>
        <w:rPr>
          <w:rFonts w:eastAsia="Times New Roman"/>
          <w:sz w:val="20"/>
          <w:szCs w:val="20"/>
        </w:rPr>
        <w:t xml:space="preserve"> Laboratory, School of Materials Science, Toyohashi University of Technology, Toyohashi 441-8580, Japan: </w:t>
      </w:r>
      <w:hyperlink r:id="rId51" w:history="1">
        <w:r>
          <w:rPr>
            <w:rStyle w:val="Hyperlink"/>
            <w:rFonts w:eastAsia="Times New Roman"/>
            <w:sz w:val="20"/>
            <w:szCs w:val="20"/>
          </w:rPr>
          <w:t>Polycyclic Aromatic Hydrocarbons (PAHs) Data Base</w:t>
        </w:r>
      </w:hyperlink>
      <w:r>
        <w:rPr>
          <w:rFonts w:eastAsia="Times New Roman"/>
          <w:sz w:val="20"/>
          <w:szCs w:val="20"/>
        </w:rPr>
        <w:t xml:space="preserve">. </w:t>
      </w:r>
      <w:r>
        <w:rPr>
          <w:rFonts w:eastAsia="Times New Roman"/>
          <w:sz w:val="20"/>
          <w:szCs w:val="20"/>
        </w:rPr>
        <w:br/>
        <w:t>[9] Because of the high molecular symmetry (</w:t>
      </w:r>
      <w:r w:rsidRPr="00F317BE">
        <w:rPr>
          <w:rFonts w:eastAsia="Times New Roman"/>
          <w:sz w:val="20"/>
          <w:szCs w:val="20"/>
        </w:rPr>
        <w:t>D</w:t>
      </w:r>
      <w:r w:rsidRPr="00F317BE">
        <w:rPr>
          <w:rFonts w:eastAsia="Times New Roman"/>
          <w:sz w:val="20"/>
          <w:szCs w:val="20"/>
          <w:vertAlign w:val="subscript"/>
        </w:rPr>
        <w:t>6h</w:t>
      </w:r>
      <w:r>
        <w:rPr>
          <w:rFonts w:eastAsia="Times New Roman"/>
          <w:sz w:val="20"/>
          <w:szCs w:val="20"/>
        </w:rPr>
        <w:t xml:space="preserve">), </w:t>
      </w:r>
      <w:proofErr w:type="spellStart"/>
      <w:r>
        <w:rPr>
          <w:rFonts w:eastAsia="Times New Roman"/>
          <w:sz w:val="20"/>
          <w:szCs w:val="20"/>
        </w:rPr>
        <w:t>coronene</w:t>
      </w:r>
      <w:proofErr w:type="spellEnd"/>
      <w:r>
        <w:rPr>
          <w:rFonts w:eastAsia="Times New Roman"/>
          <w:sz w:val="20"/>
          <w:szCs w:val="20"/>
        </w:rPr>
        <w:t xml:space="preserve"> is a special case: The most longwave transitions are forbidden by symmetry, and the observed absorption is of vibronic origin. </w:t>
      </w:r>
      <w:r>
        <w:rPr>
          <w:rFonts w:eastAsia="Times New Roman"/>
          <w:sz w:val="20"/>
          <w:szCs w:val="20"/>
        </w:rPr>
        <w:br/>
        <w:t xml:space="preserve">[10] R. </w:t>
      </w:r>
      <w:proofErr w:type="spellStart"/>
      <w:r>
        <w:rPr>
          <w:rFonts w:eastAsia="Times New Roman"/>
          <w:sz w:val="20"/>
          <w:szCs w:val="20"/>
        </w:rPr>
        <w:t>Ruiterkamp</w:t>
      </w:r>
      <w:proofErr w:type="spellEnd"/>
      <w:r>
        <w:rPr>
          <w:rFonts w:eastAsia="Times New Roman"/>
          <w:sz w:val="20"/>
          <w:szCs w:val="20"/>
        </w:rPr>
        <w:t xml:space="preserve">, T. </w:t>
      </w:r>
      <w:proofErr w:type="spellStart"/>
      <w:r>
        <w:rPr>
          <w:rFonts w:eastAsia="Times New Roman"/>
          <w:sz w:val="20"/>
          <w:szCs w:val="20"/>
        </w:rPr>
        <w:t>Halasinski</w:t>
      </w:r>
      <w:proofErr w:type="spellEnd"/>
      <w:r>
        <w:rPr>
          <w:rFonts w:eastAsia="Times New Roman"/>
          <w:sz w:val="20"/>
          <w:szCs w:val="20"/>
        </w:rPr>
        <w:t xml:space="preserve">, F. </w:t>
      </w:r>
      <w:proofErr w:type="spellStart"/>
      <w:r>
        <w:rPr>
          <w:rFonts w:eastAsia="Times New Roman"/>
          <w:sz w:val="20"/>
          <w:szCs w:val="20"/>
        </w:rPr>
        <w:t>Salama</w:t>
      </w:r>
      <w:proofErr w:type="spellEnd"/>
      <w:r>
        <w:rPr>
          <w:rFonts w:eastAsia="Times New Roman"/>
          <w:sz w:val="20"/>
          <w:szCs w:val="20"/>
        </w:rPr>
        <w:t xml:space="preserve">, B.H. </w:t>
      </w:r>
      <w:proofErr w:type="spellStart"/>
      <w:r>
        <w:rPr>
          <w:rFonts w:eastAsia="Times New Roman"/>
          <w:sz w:val="20"/>
          <w:szCs w:val="20"/>
        </w:rPr>
        <w:t>Foing</w:t>
      </w:r>
      <w:proofErr w:type="spellEnd"/>
      <w:r>
        <w:rPr>
          <w:rFonts w:eastAsia="Times New Roman"/>
          <w:sz w:val="20"/>
          <w:szCs w:val="20"/>
        </w:rPr>
        <w:t xml:space="preserve">, L.J. </w:t>
      </w:r>
      <w:proofErr w:type="spellStart"/>
      <w:r>
        <w:rPr>
          <w:rFonts w:eastAsia="Times New Roman"/>
          <w:sz w:val="20"/>
          <w:szCs w:val="20"/>
        </w:rPr>
        <w:t>Allamandola</w:t>
      </w:r>
      <w:proofErr w:type="spellEnd"/>
      <w:r>
        <w:rPr>
          <w:rFonts w:eastAsia="Times New Roman"/>
          <w:sz w:val="20"/>
          <w:szCs w:val="20"/>
        </w:rPr>
        <w:t xml:space="preserve">, W. Schmidt, P. </w:t>
      </w:r>
      <w:proofErr w:type="spellStart"/>
      <w:r>
        <w:rPr>
          <w:rFonts w:eastAsia="Times New Roman"/>
          <w:sz w:val="20"/>
          <w:szCs w:val="20"/>
        </w:rPr>
        <w:t>Ehrenfreund</w:t>
      </w:r>
      <w:proofErr w:type="spellEnd"/>
      <w:r>
        <w:rPr>
          <w:rFonts w:eastAsia="Times New Roman"/>
          <w:sz w:val="20"/>
          <w:szCs w:val="20"/>
        </w:rPr>
        <w:t xml:space="preserve">, </w:t>
      </w:r>
      <w:r>
        <w:rPr>
          <w:rFonts w:eastAsia="Times New Roman"/>
          <w:i/>
          <w:iCs/>
          <w:sz w:val="20"/>
          <w:szCs w:val="20"/>
        </w:rPr>
        <w:t>Astronomy &amp; Astrophysics</w:t>
      </w:r>
      <w:r>
        <w:rPr>
          <w:rFonts w:eastAsia="Times New Roman"/>
          <w:sz w:val="20"/>
          <w:szCs w:val="20"/>
        </w:rPr>
        <w:t xml:space="preserve"> </w:t>
      </w:r>
      <w:r>
        <w:rPr>
          <w:rFonts w:eastAsia="Times New Roman"/>
          <w:b/>
          <w:bCs/>
          <w:sz w:val="20"/>
          <w:szCs w:val="20"/>
        </w:rPr>
        <w:t>390</w:t>
      </w:r>
      <w:r>
        <w:rPr>
          <w:rFonts w:eastAsia="Times New Roman"/>
          <w:sz w:val="20"/>
          <w:szCs w:val="20"/>
        </w:rPr>
        <w:t xml:space="preserve">, 1153 (2002) </w:t>
      </w:r>
      <w:r>
        <w:rPr>
          <w:rFonts w:eastAsia="Times New Roman"/>
          <w:sz w:val="20"/>
          <w:szCs w:val="20"/>
        </w:rPr>
        <w:br/>
        <w:t xml:space="preserve">[11] </w:t>
      </w:r>
      <w:proofErr w:type="spellStart"/>
      <w:r>
        <w:rPr>
          <w:rFonts w:eastAsia="Times New Roman"/>
          <w:sz w:val="20"/>
          <w:szCs w:val="20"/>
        </w:rPr>
        <w:t>Malloci</w:t>
      </w:r>
      <w:proofErr w:type="spellEnd"/>
      <w:r>
        <w:rPr>
          <w:rFonts w:eastAsia="Times New Roman"/>
          <w:sz w:val="20"/>
          <w:szCs w:val="20"/>
        </w:rPr>
        <w:t xml:space="preserve"> </w:t>
      </w:r>
      <w:r>
        <w:rPr>
          <w:rFonts w:eastAsia="Times New Roman"/>
          <w:i/>
          <w:iCs/>
          <w:sz w:val="20"/>
          <w:szCs w:val="20"/>
        </w:rPr>
        <w:t>et al.</w:t>
      </w:r>
      <w:r>
        <w:rPr>
          <w:rFonts w:eastAsia="Times New Roman"/>
          <w:sz w:val="20"/>
          <w:szCs w:val="20"/>
        </w:rPr>
        <w:t xml:space="preserve"> spent 2100 </w:t>
      </w:r>
      <w:proofErr w:type="spellStart"/>
      <w:r>
        <w:rPr>
          <w:rFonts w:eastAsia="Times New Roman"/>
          <w:sz w:val="20"/>
          <w:szCs w:val="20"/>
        </w:rPr>
        <w:t>cpu</w:t>
      </w:r>
      <w:proofErr w:type="spellEnd"/>
      <w:r>
        <w:rPr>
          <w:rFonts w:eastAsia="Times New Roman"/>
          <w:sz w:val="20"/>
          <w:szCs w:val="20"/>
        </w:rPr>
        <w:t xml:space="preserve"> hours (~3 months) on a TD-DFT treatment of a </w:t>
      </w:r>
      <w:r w:rsidRPr="00F317BE">
        <w:rPr>
          <w:rFonts w:eastAsia="Times New Roman"/>
          <w:sz w:val="20"/>
          <w:szCs w:val="20"/>
        </w:rPr>
        <w:t>C</w:t>
      </w:r>
      <w:r w:rsidRPr="00F317BE">
        <w:rPr>
          <w:rFonts w:eastAsia="Times New Roman"/>
          <w:sz w:val="20"/>
          <w:szCs w:val="20"/>
          <w:vertAlign w:val="subscript"/>
        </w:rPr>
        <w:t>48</w:t>
      </w:r>
      <w:r w:rsidRPr="00F317BE">
        <w:rPr>
          <w:rFonts w:eastAsia="Times New Roman"/>
          <w:sz w:val="20"/>
          <w:szCs w:val="20"/>
        </w:rPr>
        <w:t>H</w:t>
      </w:r>
      <w:r w:rsidRPr="00F317BE">
        <w:rPr>
          <w:rFonts w:eastAsia="Times New Roman"/>
          <w:sz w:val="20"/>
          <w:szCs w:val="20"/>
          <w:vertAlign w:val="subscript"/>
        </w:rPr>
        <w:t>20</w:t>
      </w:r>
      <w:r>
        <w:rPr>
          <w:rFonts w:eastAsia="Times New Roman"/>
          <w:sz w:val="20"/>
          <w:szCs w:val="20"/>
        </w:rPr>
        <w:t xml:space="preserve"> species: G. </w:t>
      </w:r>
      <w:proofErr w:type="spellStart"/>
      <w:r>
        <w:rPr>
          <w:rFonts w:eastAsia="Times New Roman"/>
          <w:sz w:val="20"/>
          <w:szCs w:val="20"/>
        </w:rPr>
        <w:t>Malloci</w:t>
      </w:r>
      <w:proofErr w:type="spellEnd"/>
      <w:r>
        <w:rPr>
          <w:rFonts w:eastAsia="Times New Roman"/>
          <w:sz w:val="20"/>
          <w:szCs w:val="20"/>
        </w:rPr>
        <w:t xml:space="preserve">, G. </w:t>
      </w:r>
      <w:proofErr w:type="spellStart"/>
      <w:r>
        <w:rPr>
          <w:rFonts w:eastAsia="Times New Roman"/>
          <w:sz w:val="20"/>
          <w:szCs w:val="20"/>
        </w:rPr>
        <w:t>Mulas</w:t>
      </w:r>
      <w:proofErr w:type="spellEnd"/>
      <w:r>
        <w:rPr>
          <w:rFonts w:eastAsia="Times New Roman"/>
          <w:sz w:val="20"/>
          <w:szCs w:val="20"/>
        </w:rPr>
        <w:t xml:space="preserve">, C. </w:t>
      </w:r>
      <w:proofErr w:type="spellStart"/>
      <w:r>
        <w:rPr>
          <w:rFonts w:eastAsia="Times New Roman"/>
          <w:sz w:val="20"/>
          <w:szCs w:val="20"/>
        </w:rPr>
        <w:t>Joblin</w:t>
      </w:r>
      <w:proofErr w:type="spellEnd"/>
      <w:r>
        <w:rPr>
          <w:rFonts w:eastAsia="Times New Roman"/>
          <w:sz w:val="20"/>
          <w:szCs w:val="20"/>
        </w:rPr>
        <w:t xml:space="preserve">, </w:t>
      </w:r>
      <w:r>
        <w:rPr>
          <w:rFonts w:eastAsia="Times New Roman"/>
          <w:i/>
          <w:iCs/>
          <w:sz w:val="20"/>
          <w:szCs w:val="20"/>
        </w:rPr>
        <w:t>Astronomy &amp; Astrophysics</w:t>
      </w:r>
      <w:r>
        <w:rPr>
          <w:rFonts w:eastAsia="Times New Roman"/>
          <w:sz w:val="20"/>
          <w:szCs w:val="20"/>
        </w:rPr>
        <w:t xml:space="preserve"> </w:t>
      </w:r>
      <w:r>
        <w:rPr>
          <w:rFonts w:eastAsia="Times New Roman"/>
          <w:b/>
          <w:bCs/>
          <w:sz w:val="20"/>
          <w:szCs w:val="20"/>
        </w:rPr>
        <w:t>426</w:t>
      </w:r>
      <w:r>
        <w:rPr>
          <w:rFonts w:eastAsia="Times New Roman"/>
          <w:sz w:val="20"/>
          <w:szCs w:val="20"/>
        </w:rPr>
        <w:t xml:space="preserve">, 105 (2004) </w:t>
      </w:r>
      <w:r>
        <w:rPr>
          <w:rFonts w:eastAsia="Times New Roman"/>
          <w:sz w:val="20"/>
          <w:szCs w:val="20"/>
        </w:rPr>
        <w:br/>
        <w:t xml:space="preserve">[12] J. Michl, E.W. Thulstrup, </w:t>
      </w:r>
      <w:r>
        <w:rPr>
          <w:rFonts w:eastAsia="Times New Roman"/>
          <w:i/>
          <w:iCs/>
          <w:sz w:val="20"/>
          <w:szCs w:val="20"/>
        </w:rPr>
        <w:t xml:space="preserve">Spectroscopy with Polarized Light. </w:t>
      </w:r>
      <w:proofErr w:type="gramStart"/>
      <w:r>
        <w:rPr>
          <w:rFonts w:eastAsia="Times New Roman"/>
          <w:i/>
          <w:iCs/>
          <w:sz w:val="20"/>
          <w:szCs w:val="20"/>
        </w:rPr>
        <w:t xml:space="preserve">Solute Alignment by </w:t>
      </w:r>
      <w:proofErr w:type="spellStart"/>
      <w:r>
        <w:rPr>
          <w:rFonts w:eastAsia="Times New Roman"/>
          <w:i/>
          <w:iCs/>
          <w:sz w:val="20"/>
          <w:szCs w:val="20"/>
        </w:rPr>
        <w:t>Photoselection</w:t>
      </w:r>
      <w:proofErr w:type="spellEnd"/>
      <w:r>
        <w:rPr>
          <w:rFonts w:eastAsia="Times New Roman"/>
          <w:i/>
          <w:iCs/>
          <w:sz w:val="20"/>
          <w:szCs w:val="20"/>
        </w:rPr>
        <w:t>, in Liquid Crystals, Polymers, and Membranes</w:t>
      </w:r>
      <w:r>
        <w:rPr>
          <w:rFonts w:eastAsia="Times New Roman"/>
          <w:sz w:val="20"/>
          <w:szCs w:val="20"/>
        </w:rPr>
        <w:t>, VCH Publishers, 1986, 1995.</w:t>
      </w:r>
      <w:proofErr w:type="gramEnd"/>
      <w:r>
        <w:rPr>
          <w:rFonts w:eastAsia="Times New Roman"/>
          <w:sz w:val="20"/>
          <w:szCs w:val="20"/>
        </w:rPr>
        <w:t xml:space="preserve"> </w:t>
      </w:r>
    </w:p>
    <w:sectPr w:rsidR="005A320E" w:rsidSect="000C503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compat/>
  <w:rsids>
    <w:rsidRoot w:val="00284EFB"/>
    <w:rsid w:val="000C5031"/>
    <w:rsid w:val="00284EFB"/>
    <w:rsid w:val="00297B9F"/>
    <w:rsid w:val="005A320E"/>
    <w:rsid w:val="00841482"/>
    <w:rsid w:val="00890A8F"/>
    <w:rsid w:val="00A1572C"/>
    <w:rsid w:val="00A658A3"/>
    <w:rsid w:val="00AA64CB"/>
    <w:rsid w:val="00C924D9"/>
    <w:rsid w:val="00CA0664"/>
    <w:rsid w:val="00D37719"/>
    <w:rsid w:val="00E05633"/>
    <w:rsid w:val="00E44776"/>
    <w:rsid w:val="00F317BE"/>
    <w:rsid w:val="00FA51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20E"/>
    <w:rPr>
      <w:rFonts w:eastAsiaTheme="minorEastAsia"/>
      <w:sz w:val="24"/>
      <w:szCs w:val="24"/>
    </w:rPr>
  </w:style>
  <w:style w:type="paragraph" w:styleId="Heading3">
    <w:name w:val="heading 3"/>
    <w:basedOn w:val="Normal"/>
    <w:link w:val="Heading3Char"/>
    <w:uiPriority w:val="9"/>
    <w:qFormat/>
    <w:rsid w:val="005A320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5A320E"/>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semiHidden/>
    <w:unhideWhenUsed/>
    <w:rsid w:val="005A320E"/>
    <w:rPr>
      <w:color w:val="0000FF"/>
      <w:u w:val="single"/>
    </w:rPr>
  </w:style>
  <w:style w:type="character" w:styleId="FollowedHyperlink">
    <w:name w:val="FollowedHyperlink"/>
    <w:basedOn w:val="DefaultParagraphFont"/>
    <w:uiPriority w:val="99"/>
    <w:semiHidden/>
    <w:unhideWhenUsed/>
    <w:rsid w:val="005A320E"/>
    <w:rPr>
      <w:color w:val="800080"/>
      <w:u w:val="single"/>
    </w:rPr>
  </w:style>
  <w:style w:type="paragraph" w:styleId="BalloonText">
    <w:name w:val="Balloon Text"/>
    <w:basedOn w:val="Normal"/>
    <w:link w:val="BalloonTextChar"/>
    <w:uiPriority w:val="99"/>
    <w:semiHidden/>
    <w:unhideWhenUsed/>
    <w:rsid w:val="00E44776"/>
    <w:rPr>
      <w:rFonts w:ascii="Tahoma" w:hAnsi="Tahoma" w:cs="Tahoma"/>
      <w:sz w:val="16"/>
      <w:szCs w:val="16"/>
    </w:rPr>
  </w:style>
  <w:style w:type="character" w:customStyle="1" w:styleId="BalloonTextChar">
    <w:name w:val="Balloon Text Char"/>
    <w:basedOn w:val="DefaultParagraphFont"/>
    <w:link w:val="BalloonText"/>
    <w:uiPriority w:val="99"/>
    <w:semiHidden/>
    <w:rsid w:val="00E44776"/>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file:///O:\public_html\LCOAO\PAH\Benzo%5bghi%5dperylene.bmp" TargetMode="External"/><Relationship Id="rId18" Type="http://schemas.openxmlformats.org/officeDocument/2006/relationships/hyperlink" Target="Benzo%5ba%5dcoronene.jpg" TargetMode="External"/><Relationship Id="rId26" Type="http://schemas.openxmlformats.org/officeDocument/2006/relationships/hyperlink" Target="http://akira.ruc.dk/~spanget/LCOAO/PAH/Benzo%5bghi%5dnaphtho%5bcde%5dperylene.jpg" TargetMode="External"/><Relationship Id="rId39" Type="http://schemas.openxmlformats.org/officeDocument/2006/relationships/hyperlink" Target="Terrylene.jpg" TargetMode="External"/><Relationship Id="rId3" Type="http://schemas.openxmlformats.org/officeDocument/2006/relationships/webSettings" Target="webSettings.xml"/><Relationship Id="rId21" Type="http://schemas.openxmlformats.org/officeDocument/2006/relationships/hyperlink" Target="Dibenzo%5bbc,ef%5dcoronene.jpg" TargetMode="External"/><Relationship Id="rId34" Type="http://schemas.openxmlformats.org/officeDocument/2006/relationships/image" Target="file:///O:\public_html\LCOAO\PAH\Pyranthrene.bmp" TargetMode="External"/><Relationship Id="rId42" Type="http://schemas.openxmlformats.org/officeDocument/2006/relationships/hyperlink" Target="Quaterrylene.jpg" TargetMode="External"/><Relationship Id="rId47" Type="http://schemas.openxmlformats.org/officeDocument/2006/relationships/hyperlink" Target="http://akira.ruc.dk/~spanget/LCOAO/PAH/Hexabenzoperopyrene.jpg" TargetMode="External"/><Relationship Id="rId50" Type="http://schemas.openxmlformats.org/officeDocument/2006/relationships/hyperlink" Target="mailto:%20spanget@ruc.dk" TargetMode="External"/><Relationship Id="rId7" Type="http://schemas.openxmlformats.org/officeDocument/2006/relationships/image" Target="file:///O:\public_html\LCOAO\PAH\Perylene.bmp" TargetMode="External"/><Relationship Id="rId12" Type="http://schemas.openxmlformats.org/officeDocument/2006/relationships/hyperlink" Target="Benzo%5bghi%5dperylene.jpg" TargetMode="External"/><Relationship Id="rId17" Type="http://schemas.openxmlformats.org/officeDocument/2006/relationships/hyperlink" Target="http://akira.ruc.dk/~spanget/LCOAO/PAH/Benzo%5ba%5dcoronene.jpg" TargetMode="External"/><Relationship Id="rId25" Type="http://schemas.openxmlformats.org/officeDocument/2006/relationships/image" Target="file:///O:\public_html\LCOAO\PAH\Naphtho%5bd%5dcoronene.bmp" TargetMode="External"/><Relationship Id="rId33" Type="http://schemas.openxmlformats.org/officeDocument/2006/relationships/hyperlink" Target="Pyranthrene.jpg" TargetMode="External"/><Relationship Id="rId38" Type="http://schemas.openxmlformats.org/officeDocument/2006/relationships/hyperlink" Target="http://akira.ruc.dk/~spanget/LCOAO/PAH/Terrylene.jpg" TargetMode="External"/><Relationship Id="rId46" Type="http://schemas.openxmlformats.org/officeDocument/2006/relationships/image" Target="file:///O:\public_html\LCOAO\PAH\Dicoronylene.bmp" TargetMode="External"/><Relationship Id="rId2" Type="http://schemas.openxmlformats.org/officeDocument/2006/relationships/settings" Target="settings.xml"/><Relationship Id="rId16" Type="http://schemas.openxmlformats.org/officeDocument/2006/relationships/image" Target="file:///O:\public_html\LCOAO\PAH\Coronene.bmp" TargetMode="External"/><Relationship Id="rId20" Type="http://schemas.openxmlformats.org/officeDocument/2006/relationships/hyperlink" Target="http://akira.ruc.dk/~spanget/LCOAO/PAH/Dibenzo%5bbc,ef%5dcoronene.jpg" TargetMode="External"/><Relationship Id="rId29" Type="http://schemas.openxmlformats.org/officeDocument/2006/relationships/hyperlink" Target="http://akira.ruc.dk/~spanget/LCOAO/PAH/Benzo%5brst%5ddinaphtho%5bdefg,ijkl%5dpentaphene.jpg" TargetMode="External"/><Relationship Id="rId41" Type="http://schemas.openxmlformats.org/officeDocument/2006/relationships/hyperlink" Target="http://akira.ruc.dk/~spanget/LCOAO/PAH/Quaterrylene.jpg" TargetMode="External"/><Relationship Id="rId1" Type="http://schemas.openxmlformats.org/officeDocument/2006/relationships/styles" Target="styles.xml"/><Relationship Id="rId6" Type="http://schemas.openxmlformats.org/officeDocument/2006/relationships/hyperlink" Target="Perylene.jpg" TargetMode="External"/><Relationship Id="rId11" Type="http://schemas.openxmlformats.org/officeDocument/2006/relationships/hyperlink" Target="http://akira.ruc.dk/~spanget/LCOAO/PAH/Benzo%5bghi%5dperylene.jpg" TargetMode="External"/><Relationship Id="rId24" Type="http://schemas.openxmlformats.org/officeDocument/2006/relationships/hyperlink" Target="Naphtho%5bd%5dcoronene.jpg" TargetMode="External"/><Relationship Id="rId32" Type="http://schemas.openxmlformats.org/officeDocument/2006/relationships/hyperlink" Target="http://akira.ruc.dk/~spanget/LCOAO/PAH/Pyranthrene.jpg" TargetMode="External"/><Relationship Id="rId37" Type="http://schemas.openxmlformats.org/officeDocument/2006/relationships/image" Target="file:///O:\public_html\LCOAO\PAH\Ovalene.bmp" TargetMode="External"/><Relationship Id="rId40" Type="http://schemas.openxmlformats.org/officeDocument/2006/relationships/image" Target="file:///O:\public_html\LCOAO\PAH\Terrylene.bmp" TargetMode="External"/><Relationship Id="rId45" Type="http://schemas.openxmlformats.org/officeDocument/2006/relationships/hyperlink" Target="Dicoronylene.jpg" TargetMode="External"/><Relationship Id="rId53" Type="http://schemas.openxmlformats.org/officeDocument/2006/relationships/theme" Target="theme/theme1.xml"/><Relationship Id="rId5" Type="http://schemas.openxmlformats.org/officeDocument/2006/relationships/hyperlink" Target="http://akira.ruc.dk/~spanget/LCOAO/PAH/Perylene.jpg" TargetMode="External"/><Relationship Id="rId15" Type="http://schemas.openxmlformats.org/officeDocument/2006/relationships/hyperlink" Target="Coronene.jpg" TargetMode="External"/><Relationship Id="rId23" Type="http://schemas.openxmlformats.org/officeDocument/2006/relationships/hyperlink" Target="http://akira.ruc.dk/~spanget/LCOAO/PAH/Naphtho%5bd%5dcoronene.jpg" TargetMode="External"/><Relationship Id="rId28" Type="http://schemas.openxmlformats.org/officeDocument/2006/relationships/image" Target="file:///O:\public_html\LCOAO\PAH\Benzo%5bghi%5dnaphtho%5bcde%5dperylene.bmp" TargetMode="External"/><Relationship Id="rId36" Type="http://schemas.openxmlformats.org/officeDocument/2006/relationships/hyperlink" Target="Ovalene.jpg" TargetMode="External"/><Relationship Id="rId49" Type="http://schemas.openxmlformats.org/officeDocument/2006/relationships/image" Target="file:///O:\public_html\LCOAO\PAH\Hexabenzoperopyrene.bmp" TargetMode="External"/><Relationship Id="rId10" Type="http://schemas.openxmlformats.org/officeDocument/2006/relationships/image" Target="file:///O:\public_html\LCOAO\PAH\Benzo%5ba%5dpyrene.bmp" TargetMode="External"/><Relationship Id="rId19" Type="http://schemas.openxmlformats.org/officeDocument/2006/relationships/image" Target="file:///O:\public_html\LCOAO\PAH\Benzo%5ba%5dcoronene.bmp" TargetMode="External"/><Relationship Id="rId31" Type="http://schemas.openxmlformats.org/officeDocument/2006/relationships/image" Target="file:///O:\public_html\LCOAO\PAH\Benzo%5brst%5ddinaphtho%5bdefg,ijkl%5dpentaphene.bmp" TargetMode="External"/><Relationship Id="rId44" Type="http://schemas.openxmlformats.org/officeDocument/2006/relationships/hyperlink" Target="http://akira.ruc.dk/~spanget/LCOAO/PAH/Dicoronylene.jpg" TargetMode="External"/><Relationship Id="rId52" Type="http://schemas.openxmlformats.org/officeDocument/2006/relationships/fontTable" Target="fontTable.xml"/><Relationship Id="rId4" Type="http://schemas.openxmlformats.org/officeDocument/2006/relationships/hyperlink" Target="mailto:%20spanget@ruc.dk" TargetMode="External"/><Relationship Id="rId9" Type="http://schemas.openxmlformats.org/officeDocument/2006/relationships/hyperlink" Target="Benzo%5ba%5dpyrene.jpg" TargetMode="External"/><Relationship Id="rId14" Type="http://schemas.openxmlformats.org/officeDocument/2006/relationships/hyperlink" Target="http://akira.ruc.dk/~spanget/LCOAO/PAH/Coronene.jpg" TargetMode="External"/><Relationship Id="rId22" Type="http://schemas.openxmlformats.org/officeDocument/2006/relationships/image" Target="file:///O:\public_html\LCOAO\PAH\Dibenzo%5bbc,ef%5dcoronene.bmp" TargetMode="External"/><Relationship Id="rId27" Type="http://schemas.openxmlformats.org/officeDocument/2006/relationships/hyperlink" Target="Benzo%5bghi%5dnaphtho%5bcde%5dperylene.jpg" TargetMode="External"/><Relationship Id="rId30" Type="http://schemas.openxmlformats.org/officeDocument/2006/relationships/hyperlink" Target="Benzo%5brst%5ddinaphtho%5bdefg,ijkl%5dpentaphene.jpg" TargetMode="External"/><Relationship Id="rId35" Type="http://schemas.openxmlformats.org/officeDocument/2006/relationships/hyperlink" Target="http://akira.ruc.dk/~spanget/LCOAO/PAH/Ovalene.jpg" TargetMode="External"/><Relationship Id="rId43" Type="http://schemas.openxmlformats.org/officeDocument/2006/relationships/image" Target="file:///O:\public_html\LCOAO\PAH\Quaterrylene.bmp" TargetMode="External"/><Relationship Id="rId48" Type="http://schemas.openxmlformats.org/officeDocument/2006/relationships/hyperlink" Target="Hexabenzoperopyrene.jpg" TargetMode="External"/><Relationship Id="rId8" Type="http://schemas.openxmlformats.org/officeDocument/2006/relationships/hyperlink" Target="http://akira.ruc.dk/~spanget/LCOAO/PAH/Benzo%5ba%5dpyrene.jpg" TargetMode="External"/><Relationship Id="rId51" Type="http://schemas.openxmlformats.org/officeDocument/2006/relationships/hyperlink" Target="http://chrom.tutms.tut.ac.jp/JINNO/DATABASE/00databa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1156</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PAH-LCOAO Abstract: September 2009</vt:lpstr>
    </vt:vector>
  </TitlesOfParts>
  <Company> </Company>
  <LinksUpToDate>false</LinksUpToDate>
  <CharactersWithSpaces>7736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PAH-LCOAO Abstract: September 2009</dc:title>
  <dc:subject/>
  <dc:creator>spanget</dc:creator>
  <cp:keywords/>
  <dc:description/>
  <cp:lastModifiedBy>spanget</cp:lastModifiedBy>
  <cp:revision>3</cp:revision>
  <cp:lastPrinted>2013-01-16T16:41:00Z</cp:lastPrinted>
  <dcterms:created xsi:type="dcterms:W3CDTF">2013-01-16T16:42:00Z</dcterms:created>
  <dcterms:modified xsi:type="dcterms:W3CDTF">2013-01-17T11:43:00Z</dcterms:modified>
</cp:coreProperties>
</file>